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B51A86">
      <w:pPr>
        <w:pStyle w:val="a4"/>
        <w:tabs>
          <w:tab w:val="right" w:pos="10490"/>
        </w:tabs>
        <w:kinsoku w:val="0"/>
        <w:overflowPunct w:val="0"/>
        <w:spacing w:line="360" w:lineRule="auto"/>
        <w:ind w:left="1197" w:firstLine="0"/>
        <w:rPr>
          <w:rFonts w:ascii="Arial" w:hAnsi="Arial" w:cs="Arial"/>
          <w:b/>
          <w:bCs/>
          <w:sz w:val="22"/>
          <w:szCs w:val="24"/>
        </w:rPr>
      </w:pPr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B51A86">
      <w:pPr>
        <w:pStyle w:val="BD10"/>
        <w:numPr>
          <w:ilvl w:val="0"/>
          <w:numId w:val="0"/>
        </w:numPr>
        <w:spacing w:line="360" w:lineRule="auto"/>
        <w:ind w:left="1134"/>
        <w:rPr>
          <w:rFonts w:ascii="Arial" w:hAnsi="Arial" w:cs="Arial"/>
          <w:sz w:val="22"/>
        </w:rPr>
      </w:pP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Указание в поле, имеющего код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Анкета Клиента/Поручение на изменение Анкеты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(Market); 2 – Приказ по заданной цене (Limit); 3 – Рыночный Стоп-приказ (Stop); 4 – Стоп-приказ по заданной цене (Stop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Limit)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Стоп-лосс: 1 — следящий Стоп-лосс, 0 — обычный Стоп-лосс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Поручения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</w:t>
      </w:r>
      <w:bookmarkStart w:id="0" w:name="_GoBack"/>
      <w:r w:rsidRPr="001D468D">
        <w:rPr>
          <w:rFonts w:ascii="Arial" w:hAnsi="Arial" w:cs="Arial"/>
          <w:sz w:val="22"/>
        </w:rPr>
        <w:t>токен</w:t>
      </w:r>
      <w:bookmarkEnd w:id="0"/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отзыв Денежных средств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10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4E32B3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4E32B3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4E32B3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4E32B3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4E32B3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4E32B3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физического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7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и активов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имею</w:t>
            </w:r>
            <w:r>
              <w:rPr>
                <w:rFonts w:ascii="Arial" w:hAnsi="Arial" w:cs="Arial"/>
                <w:sz w:val="20"/>
                <w:szCs w:val="22"/>
              </w:rPr>
              <w:t>.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D50453">
              <w:rPr>
                <w:rFonts w:ascii="Arial" w:hAnsi="Arial" w:cs="Arial"/>
                <w:sz w:val="20"/>
                <w:szCs w:val="22"/>
              </w:rPr>
              <w:t>experience_enough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Наличие требуемого опыта работы.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A2E7F">
              <w:rPr>
                <w:rFonts w:ascii="Arial" w:hAnsi="Arial" w:cs="Arial"/>
                <w:sz w:val="20"/>
                <w:szCs w:val="22"/>
              </w:rPr>
              <w:t>own_funds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требуемого и</w:t>
            </w:r>
            <w:r w:rsidRPr="000A2E7F">
              <w:rPr>
                <w:rFonts w:ascii="Arial" w:hAnsi="Arial" w:cs="Arial"/>
                <w:sz w:val="20"/>
                <w:szCs w:val="22"/>
              </w:rPr>
              <w:t>муществ</w:t>
            </w:r>
            <w:r>
              <w:rPr>
                <w:rFonts w:ascii="Arial" w:hAnsi="Arial" w:cs="Arial"/>
                <w:sz w:val="20"/>
                <w:szCs w:val="22"/>
              </w:rPr>
              <w:t>а.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04A54">
              <w:rPr>
                <w:rFonts w:ascii="Arial" w:hAnsi="Arial" w:cs="Arial"/>
                <w:sz w:val="20"/>
                <w:szCs w:val="22"/>
              </w:rPr>
              <w:t>education_enough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5509C9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Наличие требуемого образования / профессиональных сертификатов. П</w:t>
            </w:r>
            <w:r w:rsidRPr="001D468D">
              <w:rPr>
                <w:rFonts w:ascii="Arial" w:hAnsi="Arial" w:cs="Arial"/>
                <w:sz w:val="20"/>
                <w:szCs w:val="22"/>
              </w:rPr>
              <w:t>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рисками, отсутствием компенсаций.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юридического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19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</w:t>
            </w:r>
            <w:r>
              <w:rPr>
                <w:rFonts w:ascii="Arial" w:hAnsi="Arial" w:cs="Arial"/>
                <w:sz w:val="20"/>
                <w:szCs w:val="22"/>
              </w:rPr>
              <w:t>ем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>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20629">
              <w:rPr>
                <w:rFonts w:ascii="Arial" w:hAnsi="Arial" w:cs="Arial"/>
                <w:sz w:val="20"/>
                <w:szCs w:val="22"/>
              </w:rPr>
              <w:t>revenue_ur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требуемой выручки</w:t>
            </w:r>
            <w:r w:rsidRPr="00020629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1482F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Pr="001D468D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ind w:left="1077"/>
        <w:rPr>
          <w:rFonts w:ascii="ArialMT" w:hAnsi="ArialMT" w:cs="ArialMT"/>
        </w:rPr>
      </w:pPr>
      <w:r>
        <w:rPr>
          <w:rFonts w:ascii="ArialMT" w:hAnsi="ArialMT" w:cs="ArialMT"/>
        </w:rPr>
        <w:t>Заявление Клиента об отказе от статуса квалифицированного инвестора</w:t>
      </w:r>
    </w:p>
    <w:tbl>
      <w:tblPr>
        <w:tblW w:w="10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0"/>
              </w:rPr>
              <w:t>qualified_investor_off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254FB">
              <w:rPr>
                <w:rFonts w:ascii="Arial" w:hAnsi="Arial" w:cs="Arial"/>
                <w:sz w:val="20"/>
                <w:szCs w:val="20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0"/>
              </w:rPr>
              <w:t xml:space="preserve"> – запрос на исключение из реестра квалифицированных инвесторов.</w:t>
            </w:r>
          </w:p>
        </w:tc>
      </w:tr>
    </w:tbl>
    <w:p w:rsidR="00B51A86" w:rsidRPr="00C85162" w:rsidRDefault="00B51A86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p w:rsidR="00B51A86" w:rsidRDefault="00B51A86" w:rsidP="00B51A86">
      <w:pPr>
        <w:pStyle w:val="BD11"/>
        <w:numPr>
          <w:ilvl w:val="0"/>
          <w:numId w:val="0"/>
        </w:numPr>
        <w:spacing w:before="0"/>
        <w:ind w:left="1080"/>
        <w:rPr>
          <w:rFonts w:ascii="Arial" w:hAnsi="Arial" w:cs="Arial"/>
          <w:sz w:val="22"/>
        </w:rPr>
      </w:pPr>
    </w:p>
    <w:p w:rsidR="00DF23CB" w:rsidRPr="001D468D" w:rsidRDefault="00DF23CB" w:rsidP="00B51A86">
      <w:pPr>
        <w:pStyle w:val="BD11"/>
        <w:spacing w:before="0"/>
        <w:ind w:left="1077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 w:rsidP="00B51A86">
      <w:pPr>
        <w:spacing w:line="360" w:lineRule="auto"/>
        <w:rPr>
          <w:rFonts w:ascii="Arial" w:hAnsi="Arial" w:cs="Arial"/>
          <w:szCs w:val="24"/>
        </w:rPr>
      </w:pPr>
    </w:p>
    <w:p w:rsidR="00B812F9" w:rsidRPr="001D468D" w:rsidRDefault="00B812F9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8FE" w:rsidRDefault="00B508FE" w:rsidP="00B47F77">
      <w:r>
        <w:separator/>
      </w:r>
    </w:p>
  </w:endnote>
  <w:endnote w:type="continuationSeparator" w:id="0">
    <w:p w:rsidR="00B508FE" w:rsidRDefault="00B508FE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8FE" w:rsidRDefault="00B508FE" w:rsidP="00B47F77">
      <w:r>
        <w:separator/>
      </w:r>
    </w:p>
  </w:footnote>
  <w:footnote w:type="continuationSeparator" w:id="0">
    <w:p w:rsidR="00B508FE" w:rsidRDefault="00B508FE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1D468D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9</w:t>
          </w: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 xml:space="preserve"> 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4E32B3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A93B3F"/>
    <w:rsid w:val="00B03885"/>
    <w:rsid w:val="00B47F23"/>
    <w:rsid w:val="00B47F77"/>
    <w:rsid w:val="00B508FE"/>
    <w:rsid w:val="00B51A86"/>
    <w:rsid w:val="00B812F9"/>
    <w:rsid w:val="00C3380A"/>
    <w:rsid w:val="00C37A8C"/>
    <w:rsid w:val="00C63B4D"/>
    <w:rsid w:val="00C73B50"/>
    <w:rsid w:val="00C92F9C"/>
    <w:rsid w:val="00D67FF3"/>
    <w:rsid w:val="00DF23CB"/>
    <w:rsid w:val="00E07A14"/>
    <w:rsid w:val="00EF1ABA"/>
    <w:rsid w:val="00F9037C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1"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11</cp:revision>
  <dcterms:created xsi:type="dcterms:W3CDTF">2018-05-18T11:14:00Z</dcterms:created>
  <dcterms:modified xsi:type="dcterms:W3CDTF">2021-01-21T17:18:00Z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