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699" w:rsidRPr="00472699" w:rsidRDefault="00472699" w:rsidP="00472699">
      <w:pPr>
        <w:pStyle w:val="BD6"/>
        <w:rPr>
          <w:b/>
          <w:bCs w:val="0"/>
        </w:rPr>
      </w:pPr>
      <w:r w:rsidRPr="00472699">
        <w:rPr>
          <w:b/>
          <w:bCs w:val="0"/>
        </w:rPr>
        <w:t xml:space="preserve">Условия предоставления рыночной информации </w:t>
      </w:r>
      <w:r w:rsidR="00E16AE7">
        <w:rPr>
          <w:b/>
          <w:bCs w:val="0"/>
        </w:rPr>
        <w:t>NASDAQ</w:t>
      </w:r>
    </w:p>
    <w:p w:rsidR="00472699" w:rsidRDefault="00472699" w:rsidP="004877E4"/>
    <w:p w:rsidR="004877E4" w:rsidRPr="00A05A57" w:rsidRDefault="004877E4" w:rsidP="004877E4">
      <w:pPr>
        <w:pStyle w:val="BD1"/>
      </w:pPr>
      <w:r w:rsidRPr="00A05A57">
        <w:t>Определения, используемые в настоящих Условиях.</w:t>
      </w:r>
    </w:p>
    <w:p w:rsidR="004877E4" w:rsidRPr="00A05A57" w:rsidRDefault="004877E4" w:rsidP="004877E4">
      <w:pPr>
        <w:pStyle w:val="BD11"/>
        <w:numPr>
          <w:ilvl w:val="1"/>
          <w:numId w:val="8"/>
        </w:numPr>
        <w:ind w:left="0" w:firstLine="0"/>
      </w:pPr>
      <w:r w:rsidRPr="00A05A57">
        <w:t xml:space="preserve">"Закон" означает "Закон о торговле ценными бумагами 1934 года", применимый только к информации, распространяемой с Рынка </w:t>
      </w:r>
      <w:r w:rsidR="00E16AE7">
        <w:t>NASDAQ</w:t>
      </w:r>
      <w:r w:rsidRPr="00A05A57">
        <w:t xml:space="preserve"> в Соединенных Штатах. </w:t>
      </w:r>
    </w:p>
    <w:p w:rsidR="004877E4" w:rsidRPr="00A05A57" w:rsidRDefault="004877E4" w:rsidP="004877E4">
      <w:pPr>
        <w:pStyle w:val="BD11"/>
        <w:numPr>
          <w:ilvl w:val="1"/>
          <w:numId w:val="8"/>
        </w:numPr>
        <w:ind w:left="0" w:firstLine="0"/>
      </w:pPr>
      <w:r w:rsidRPr="00A05A57">
        <w:t xml:space="preserve">Аффилированная лицо означает любое физическое лицо, корпорацию, компанию, партнерство, партнерство с ограниченной ответственностью, компанию с ограниченной ответственностью, траст, ассоциацию или другое юридическое лицо, которое прямо или косвенно, через одного или нескольких посредников контролирует, контролируется или находится под общим контролем с такой стороной. </w:t>
      </w:r>
    </w:p>
    <w:p w:rsidR="004877E4" w:rsidRPr="00A05A57" w:rsidRDefault="004877E4" w:rsidP="004877E4">
      <w:pPr>
        <w:pStyle w:val="BD11"/>
        <w:numPr>
          <w:ilvl w:val="1"/>
          <w:numId w:val="8"/>
        </w:numPr>
        <w:ind w:left="0" w:firstLine="0"/>
      </w:pPr>
      <w:r w:rsidRPr="00A05A57">
        <w:t xml:space="preserve">"Претензии или убытки" — любые и все обязательства, убытки, штрафы, претензии, иски, расходы, судебные решения, расчеты и расходы любого характера, понесенные или произведенные в отношении возмещаемой стороны или третьей стороны, включая, помимо прочего, (а) косвенные, специальные, штрафные, косвенные или случайные убытки или ущерб, (включая, но не ограничиваясь, торговые убытки, потерю ожидаемой прибыли, убытки по причине прекращения эксплуатации или увеличения расходов на эксплуатацию или другие косвенные убытки или ущерб), и (b) административные расходы, расходы на расследование, судебные издержки и вознаграждения аудиторов и адвокатов и выплаты (включая штатный персонал). </w:t>
      </w:r>
    </w:p>
    <w:p w:rsidR="004877E4" w:rsidRPr="00A05A57" w:rsidRDefault="004877E4" w:rsidP="004877E4">
      <w:pPr>
        <w:pStyle w:val="BD11"/>
        <w:numPr>
          <w:ilvl w:val="1"/>
          <w:numId w:val="8"/>
        </w:numPr>
        <w:ind w:left="0" w:firstLine="0"/>
      </w:pPr>
      <w:r w:rsidRPr="00A05A57">
        <w:t xml:space="preserve">Дистрибьютор означает Дистрибьютора и его Аффилированное лицо согласно письменному определению, данному </w:t>
      </w:r>
      <w:r w:rsidR="00E16AE7">
        <w:t>NASDAQ</w:t>
      </w:r>
      <w:r w:rsidRPr="00A05A57">
        <w:t xml:space="preserve">. Для целей </w:t>
      </w:r>
      <w:r w:rsidR="00AA627E">
        <w:rPr>
          <w:lang w:val="ru-RU"/>
        </w:rPr>
        <w:t>настоящих Условий</w:t>
      </w:r>
      <w:r w:rsidRPr="00A05A57">
        <w:t xml:space="preserve"> "Дистрибьютор" означает "Поставщик". </w:t>
      </w:r>
    </w:p>
    <w:p w:rsidR="004877E4" w:rsidRPr="00A05A57" w:rsidRDefault="004877E4" w:rsidP="004877E4">
      <w:pPr>
        <w:pStyle w:val="BD11"/>
        <w:numPr>
          <w:ilvl w:val="1"/>
          <w:numId w:val="8"/>
        </w:numPr>
        <w:ind w:left="0" w:firstLine="0"/>
      </w:pPr>
      <w:r w:rsidRPr="00A05A57">
        <w:t xml:space="preserve">"Услуга Дистрибьютора"- услуга от дистрибьютора, включая оборудование для обработки данных, программное обеспечение и связанные с ним средства связи, по приему, обработке, передаче, использованию и распространению информации Клиентом. </w:t>
      </w:r>
    </w:p>
    <w:p w:rsidR="004877E4" w:rsidRPr="00A05A57" w:rsidRDefault="004877E4" w:rsidP="004877E4">
      <w:pPr>
        <w:pStyle w:val="BD11"/>
        <w:numPr>
          <w:ilvl w:val="1"/>
          <w:numId w:val="8"/>
        </w:numPr>
        <w:ind w:left="0" w:firstLine="0"/>
      </w:pPr>
      <w:r w:rsidRPr="00A05A57">
        <w:t xml:space="preserve">"FSA" означает "Управление финансового надзора" в Швеции, Великобритании или другой юрисдикции, отличной от Соединенных Штатов. </w:t>
      </w:r>
    </w:p>
    <w:p w:rsidR="004877E4" w:rsidRPr="00A05A57" w:rsidRDefault="004877E4" w:rsidP="004877E4">
      <w:pPr>
        <w:pStyle w:val="BD11"/>
        <w:numPr>
          <w:ilvl w:val="1"/>
          <w:numId w:val="8"/>
        </w:numPr>
        <w:ind w:left="0" w:firstLine="0"/>
      </w:pPr>
      <w:r w:rsidRPr="00A05A57">
        <w:t xml:space="preserve">"Информация" означает определенные распространяемые рыночные данные и другие данные, которые были собраны, проверены, обработаны и зарегистрированы Системой или другими источниками, предоставленными для передачи и получения либо от Дистрибьютора, либо от </w:t>
      </w:r>
      <w:r w:rsidR="00E16AE7">
        <w:t>NASDAQ</w:t>
      </w:r>
      <w:r w:rsidRPr="00A05A57">
        <w:t xml:space="preserve">, касающиеся: a) правомочных ценных бумаг или других финансовых инструментов, рынков, продуктов, носителей, указателей или устройств; b) деятельности компании </w:t>
      </w:r>
      <w:r w:rsidR="00E16AE7">
        <w:t>NASDAQ</w:t>
      </w:r>
      <w:r w:rsidRPr="00A05A57">
        <w:t xml:space="preserve">; с) другой информации и данных от компании </w:t>
      </w:r>
      <w:r w:rsidR="00E16AE7">
        <w:t>NASDAQ</w:t>
      </w:r>
      <w:r w:rsidRPr="00A05A57">
        <w:t xml:space="preserve">. Информация также включает любой элемент Информации, используемый или обрабатываемый таким образом, чтобы Информация могла быть определена, пересчитана или реконструирована из обработанной Информации, или чтобы обработанная Информация могла быть использована взамен Информации. </w:t>
      </w:r>
      <w:r w:rsidRPr="004877E4">
        <w:t xml:space="preserve">ИНФОРМАЦИЯ </w:t>
      </w:r>
      <w:r w:rsidR="00E16AE7">
        <w:t>NASDAQ</w:t>
      </w:r>
      <w:r w:rsidRPr="004877E4">
        <w:t xml:space="preserve"> включает информацию, которая была собрана, проверена, обработана и записана Системой или другими источниками. В отношении данных, полученных из других источников, применяются следующие регулирующие права</w:t>
      </w:r>
      <w:r w:rsidRPr="004877E4">
        <w:rPr>
          <w:lang w:val="ru-RU"/>
        </w:rPr>
        <w:t>/</w:t>
      </w:r>
    </w:p>
    <w:p w:rsidR="004877E4" w:rsidRPr="00A05A57" w:rsidRDefault="004877E4" w:rsidP="004877E4">
      <w:pPr>
        <w:pStyle w:val="BD11"/>
        <w:numPr>
          <w:ilvl w:val="1"/>
          <w:numId w:val="8"/>
        </w:numPr>
        <w:ind w:left="0" w:firstLine="0"/>
      </w:pPr>
      <w:r w:rsidRPr="00A05A57">
        <w:t>"</w:t>
      </w:r>
      <w:r w:rsidR="00E16AE7">
        <w:t>NASDAQ</w:t>
      </w:r>
      <w:r w:rsidRPr="00A05A57">
        <w:t>" совместно означает "</w:t>
      </w:r>
      <w:r w:rsidR="00AA627E">
        <w:t xml:space="preserve">NASDAQ </w:t>
      </w:r>
      <w:proofErr w:type="spellStart"/>
      <w:r w:rsidR="00AA627E">
        <w:t>Groupe</w:t>
      </w:r>
      <w:proofErr w:type="spellEnd"/>
      <w:r w:rsidR="00AA627E">
        <w:t xml:space="preserve"> </w:t>
      </w:r>
      <w:proofErr w:type="spellStart"/>
      <w:r w:rsidR="00AA627E">
        <w:t>Inc</w:t>
      </w:r>
      <w:proofErr w:type="spellEnd"/>
      <w:r w:rsidR="00AA627E">
        <w:t>.</w:t>
      </w:r>
      <w:r w:rsidRPr="00A05A57">
        <w:t>", компанию с ограниченной ответственностью Штата Делавэр, её дочерние и Аффилированные компании (совместно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"Рынки </w:t>
      </w:r>
      <w:r w:rsidR="00E16AE7">
        <w:t>NASDAQ</w:t>
      </w:r>
      <w:r w:rsidRPr="00A05A57">
        <w:t xml:space="preserve">" означает дочерние биржи именных ценных бумаг и опционные биржи </w:t>
      </w:r>
      <w:r w:rsidR="00E16AE7">
        <w:t>NASDAQ</w:t>
      </w:r>
      <w:r w:rsidRPr="00A05A57">
        <w:t xml:space="preserve">, а также другие дочерние регулируемые рынки </w:t>
      </w:r>
      <w:r w:rsidR="00E16AE7">
        <w:t>NASDAQ</w:t>
      </w:r>
      <w:r w:rsidRPr="00A05A57">
        <w:t xml:space="preserve">, включая, но не ограничиваясь, Фондовый рынок </w:t>
      </w:r>
      <w:r w:rsidR="00E16AE7">
        <w:t>NASDAQ</w:t>
      </w:r>
      <w:r w:rsidRPr="00A05A57">
        <w:t xml:space="preserve"> ("</w:t>
      </w:r>
      <w:r w:rsidR="00E16AE7">
        <w:t>NASDAQ</w:t>
      </w:r>
      <w:r w:rsidRPr="00A05A57">
        <w:t xml:space="preserve">"), Скандинавскую фондовую биржу, </w:t>
      </w:r>
      <w:r w:rsidR="00E16AE7">
        <w:t>NASDAQ</w:t>
      </w:r>
      <w:r w:rsidRPr="00A05A57">
        <w:t xml:space="preserve"> BX ("BX"), </w:t>
      </w:r>
      <w:r w:rsidR="00E16AE7">
        <w:t>NASDAQ</w:t>
      </w:r>
      <w:r w:rsidRPr="00A05A57">
        <w:t xml:space="preserve"> PHLX ("PHLX"), Торговую палату Филадельфии ("PBOT") и </w:t>
      </w:r>
      <w:r w:rsidR="00E16AE7">
        <w:t>NASDAQ</w:t>
      </w:r>
      <w:r w:rsidRPr="00A05A57">
        <w:t xml:space="preserve"> Европа. Рынки </w:t>
      </w:r>
      <w:r w:rsidR="00E16AE7">
        <w:t>NASDAQ</w:t>
      </w:r>
      <w:r w:rsidRPr="00A05A57">
        <w:t xml:space="preserve"> каждый именуется "Рынок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"Требования </w:t>
      </w:r>
      <w:r w:rsidR="00E16AE7">
        <w:t>NASDAQ</w:t>
      </w:r>
      <w:r w:rsidRPr="00A05A57">
        <w:t>" означает (i) правила, регламенты, толкования, решения, мнения, приказы и другие требования SEC или FSA, которые могут быть применимы на основании Рынка</w:t>
      </w:r>
      <w:r w:rsidR="008F2FEA">
        <w:t xml:space="preserve"> </w:t>
      </w:r>
      <w:r w:rsidR="00E16AE7">
        <w:t>NASDAQ</w:t>
      </w:r>
      <w:r w:rsidRPr="00A05A57">
        <w:t>, от которого получена Информация; (</w:t>
      </w:r>
      <w:proofErr w:type="spellStart"/>
      <w:r w:rsidRPr="00A05A57">
        <w:t>ii</w:t>
      </w:r>
      <w:proofErr w:type="spellEnd"/>
      <w:r w:rsidRPr="00A05A57">
        <w:t>) правила и регламенты, дисциплинарное решение и толкования правил, применимые к Рынкам</w:t>
      </w:r>
      <w:r w:rsidR="008F2FEA">
        <w:t xml:space="preserve"> </w:t>
      </w:r>
      <w:r w:rsidR="00E16AE7">
        <w:t>NASDAQ</w:t>
      </w:r>
      <w:r w:rsidRPr="00A05A57">
        <w:t>, (</w:t>
      </w:r>
      <w:proofErr w:type="spellStart"/>
      <w:r w:rsidRPr="00A05A57">
        <w:t>iii</w:t>
      </w:r>
      <w:proofErr w:type="spellEnd"/>
      <w:r w:rsidRPr="00A05A57">
        <w:t xml:space="preserve">) решения, политики, толкования, технологические процессы, спецификации, требования и другая документация Рынков </w:t>
      </w:r>
      <w:r w:rsidR="00E16AE7">
        <w:t>NASDAQ</w:t>
      </w:r>
      <w:r w:rsidRPr="00A05A57">
        <w:t xml:space="preserve">, которые являются регулятивными или техническими по своему характеру (включая, но не ограничиваясь, руководства пользователя), опубликованные на веб-сайте </w:t>
      </w:r>
      <w:r w:rsidR="00E16AE7">
        <w:t>NASDAQ</w:t>
      </w:r>
      <w:r w:rsidRPr="00A05A57">
        <w:t xml:space="preserve"> по адресу www.NASDAQTrader.com или на другом веб-сайте, доступном и известном Дистрибьютору; и (</w:t>
      </w:r>
      <w:proofErr w:type="spellStart"/>
      <w:r w:rsidRPr="00A05A57">
        <w:t>iv</w:t>
      </w:r>
      <w:proofErr w:type="spellEnd"/>
      <w:r w:rsidRPr="00A05A57">
        <w:t xml:space="preserve">) все другие применимые законы, статуты, правила, регламенты, приказы, </w:t>
      </w:r>
      <w:r w:rsidRPr="00A05A57">
        <w:lastRenderedPageBreak/>
        <w:t xml:space="preserve">решения, толкования, мнения и другие требования, обнародованные в США, Англии, Швеции или под любой другой соответствующей юрисдикцией (в том числе в сфере интеллектуальной собственности); и (v) преемники, существующие на тот момент, компонентов Требований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"Трейдер </w:t>
      </w:r>
      <w:r w:rsidR="00E16AE7">
        <w:t>NASDAQ</w:t>
      </w:r>
      <w:r w:rsidRPr="00A05A57">
        <w:t xml:space="preserve">" означает веб-сайт www.NASDAQTrader.com или его сайт(ы-) – преемник (-и). Или-включая слов "и". </w:t>
      </w:r>
    </w:p>
    <w:p w:rsidR="004877E4" w:rsidRPr="00A05A57" w:rsidRDefault="004877E4" w:rsidP="004877E4">
      <w:pPr>
        <w:pStyle w:val="BD11"/>
        <w:numPr>
          <w:ilvl w:val="1"/>
          <w:numId w:val="8"/>
        </w:numPr>
        <w:ind w:left="0" w:firstLine="0"/>
      </w:pPr>
      <w:r w:rsidRPr="00A05A57">
        <w:t xml:space="preserve">"Лицо"-любое физическое лицо, собственник, корпорация, товарищество или другое юридическое лицо. </w:t>
      </w:r>
    </w:p>
    <w:p w:rsidR="004877E4" w:rsidRPr="00A05A57" w:rsidRDefault="004877E4" w:rsidP="004877E4">
      <w:pPr>
        <w:pStyle w:val="BD11"/>
        <w:numPr>
          <w:ilvl w:val="1"/>
          <w:numId w:val="8"/>
        </w:numPr>
        <w:ind w:left="0" w:firstLine="0"/>
      </w:pPr>
      <w:r w:rsidRPr="00A05A57">
        <w:t>"Клиент"-при употреблении в единственном числе, слово "Клиент" охватывает всех Непрофессиональных, Частных, Профессиональных и Деловых Клиентов.</w:t>
      </w:r>
      <w:r w:rsidR="008F2FEA">
        <w:t xml:space="preserve"> </w:t>
      </w:r>
      <w:r w:rsidRPr="00A05A57">
        <w:t>Все Клиенты считаются Профессиональными или Деловыми, если они не квалифицированы как Непрофессиональные или Частные Клиенты.</w:t>
      </w:r>
    </w:p>
    <w:p w:rsidR="004877E4" w:rsidRPr="00A05A57" w:rsidRDefault="004877E4" w:rsidP="004877E4">
      <w:pPr>
        <w:pStyle w:val="BD11"/>
        <w:numPr>
          <w:ilvl w:val="1"/>
          <w:numId w:val="8"/>
        </w:numPr>
        <w:ind w:left="0" w:firstLine="0"/>
      </w:pPr>
      <w:r w:rsidRPr="00A05A57">
        <w:t>Частный Клиент: Физическое лицо для целей управления собственными личными инвестициями Клиента, а не для каких-либо коммерческих целей, а также для целей предоставления каких-либо консультаций любому другому лицу. Частный Клиент не может:</w:t>
      </w:r>
      <w:r w:rsidR="008F2FEA">
        <w:t xml:space="preserve"> </w:t>
      </w:r>
      <w:r w:rsidRPr="00A05A57">
        <w:t>(а)</w:t>
      </w:r>
      <w:r w:rsidRPr="004877E4">
        <w:rPr>
          <w:lang w:val="ru-RU"/>
        </w:rPr>
        <w:t xml:space="preserve"> </w:t>
      </w:r>
      <w:r w:rsidRPr="00A05A57">
        <w:t>заключать, получать или использовать информацию в целях частного использования от имени любого другого лица или любой корпорации, товарищества, общества с ограниченной ответственностью, траста, ассоциации или другой формы организации, (b)</w:t>
      </w:r>
      <w:r w:rsidRPr="00A05A57">
        <w:tab/>
        <w:t>заключать договор, получать или использовать информацию в целях частного использования в любой услуге, которая оплачивается другим лицом или любой корпорацией, товариществом, обществом с ограниченной ответственностью, трастом, ассоциацией или иной формой организации. Частный Клиент обязан, несмотря на вышеизложенное: (c)</w:t>
      </w:r>
      <w:r w:rsidRPr="00A05A57">
        <w:tab/>
        <w:t>иметь право заключать договоры, получать или использовать Информацию от имени или оплачивать ее другим физическим лицом (лицом B) при условии, что (1) оно предназначено для целей управления личными инвестициями лица B, а не для каких-либо коммерческих целей, и (2) лицо B подало доверенность или эквивалентную документацию соответственно лицензиату, (d) получать или использовать информацию для частного использования от имени и / или оплачивать ее юридическим лицом или иной формой не физического лица, в</w:t>
      </w:r>
      <w:r w:rsidR="008F2FEA">
        <w:t xml:space="preserve"> </w:t>
      </w:r>
      <w:r w:rsidRPr="00A05A57">
        <w:t>которой Частный Клиент имеет полное (100%) владение и</w:t>
      </w:r>
      <w:r w:rsidR="008F2FEA">
        <w:t xml:space="preserve"> </w:t>
      </w:r>
      <w:r w:rsidRPr="00A05A57">
        <w:t xml:space="preserve">осуществляет полный (100%) контроль, (е) Разделы (с) и (d) не могут быть объединены. </w:t>
      </w:r>
    </w:p>
    <w:p w:rsidR="004877E4" w:rsidRPr="00A05A57" w:rsidRDefault="004877E4" w:rsidP="004877E4">
      <w:pPr>
        <w:pStyle w:val="BD11"/>
        <w:numPr>
          <w:ilvl w:val="1"/>
          <w:numId w:val="8"/>
        </w:numPr>
        <w:ind w:left="0" w:firstLine="0"/>
      </w:pPr>
      <w:r w:rsidRPr="00A05A57">
        <w:t>Деловой Клиент - Все остальные лица, не соответствующие определению Частного Клиента.</w:t>
      </w:r>
    </w:p>
    <w:p w:rsidR="004877E4" w:rsidRPr="00A05A57" w:rsidRDefault="004877E4" w:rsidP="004877E4">
      <w:pPr>
        <w:pStyle w:val="BD11"/>
        <w:numPr>
          <w:ilvl w:val="1"/>
          <w:numId w:val="8"/>
        </w:numPr>
        <w:ind w:left="0" w:firstLine="0"/>
      </w:pPr>
      <w:r w:rsidRPr="00A05A57">
        <w:t xml:space="preserve">"Система" означает любую систему, которую </w:t>
      </w:r>
      <w:r w:rsidR="00E16AE7">
        <w:t>NASDAQ</w:t>
      </w:r>
      <w:r w:rsidRPr="00A05A57">
        <w:t xml:space="preserve"> разработал для создания и/или распространения Информации. </w:t>
      </w:r>
    </w:p>
    <w:p w:rsidR="00A05A57" w:rsidRDefault="00A05A57" w:rsidP="004877E4">
      <w:pPr>
        <w:pStyle w:val="BD6"/>
      </w:pPr>
    </w:p>
    <w:p w:rsidR="004877E4" w:rsidRDefault="004877E4" w:rsidP="004877E4">
      <w:pPr>
        <w:pStyle w:val="BD6"/>
      </w:pPr>
    </w:p>
    <w:p w:rsidR="00A05A57" w:rsidRPr="004877E4" w:rsidRDefault="00A05A57" w:rsidP="004877E4">
      <w:pPr>
        <w:pStyle w:val="BD1"/>
      </w:pPr>
      <w:r w:rsidRPr="004877E4">
        <w:t xml:space="preserve">Условия предоставления рыночной информации </w:t>
      </w:r>
      <w:r w:rsidR="00E16AE7">
        <w:t>NASDAQ</w:t>
      </w:r>
    </w:p>
    <w:p w:rsidR="00A05A57" w:rsidRPr="004877E4" w:rsidRDefault="00A05A57" w:rsidP="004877E4">
      <w:pPr>
        <w:pStyle w:val="BD11"/>
      </w:pPr>
      <w:r w:rsidRPr="004877E4">
        <w:t xml:space="preserve">Настоящие Условия предоставления рыночной информации </w:t>
      </w:r>
      <w:r w:rsidR="00E16AE7">
        <w:t>NASDAQ</w:t>
      </w:r>
      <w:r w:rsidRPr="004877E4">
        <w:t>, далее – Условия определяют порядок и условия предоставления Клиенту информации об организованных торгах, предоставляемой Брокеру компанией с ограниченной ответственностью Штата Делавэр "</w:t>
      </w:r>
      <w:r w:rsidR="00AA627E">
        <w:t xml:space="preserve">NASDAQ </w:t>
      </w:r>
      <w:proofErr w:type="spellStart"/>
      <w:r w:rsidR="00AA627E">
        <w:t>Groupe</w:t>
      </w:r>
      <w:proofErr w:type="spellEnd"/>
      <w:r w:rsidR="00AA627E">
        <w:t xml:space="preserve"> </w:t>
      </w:r>
      <w:proofErr w:type="spellStart"/>
      <w:r w:rsidR="00AA627E">
        <w:t>Inc</w:t>
      </w:r>
      <w:proofErr w:type="spellEnd"/>
      <w:r w:rsidR="00AA627E">
        <w:t>.</w:t>
      </w:r>
      <w:r w:rsidRPr="004877E4">
        <w:t>", её дочерними и Аффилированными компаниями.</w:t>
      </w:r>
    </w:p>
    <w:p w:rsidR="00A05A57" w:rsidRPr="004877E4" w:rsidRDefault="00A05A57" w:rsidP="004877E4">
      <w:pPr>
        <w:pStyle w:val="BD11"/>
      </w:pPr>
      <w:r w:rsidRPr="004877E4">
        <w:t xml:space="preserve">Брокер является аффилированным лицом компании </w:t>
      </w:r>
      <w:r w:rsidR="00AA627E">
        <w:t>FREEDOM FINANCE EUROPE LTD</w:t>
      </w:r>
      <w:r w:rsidRPr="004877E4">
        <w:t xml:space="preserve">, Республика Кипр, регистрационный номер HE 324220, 05.08.2013, являющейся официальным Дистрибьютором NASDAQ GLOBAL DATA (Далее – Дистрибьютор). Брокер осуществляет </w:t>
      </w:r>
      <w:proofErr w:type="spellStart"/>
      <w:r w:rsidRPr="004877E4">
        <w:t>ретранслирование</w:t>
      </w:r>
      <w:proofErr w:type="spellEnd"/>
      <w:r w:rsidRPr="004877E4">
        <w:t xml:space="preserve"> Клиенту NASDAQ GLOBAL DATA. Клиент, Договор обслуживания, становится Клиентом Глобального Клиентского договора </w:t>
      </w:r>
      <w:r w:rsidR="00E16AE7">
        <w:t>NASDAQ</w:t>
      </w:r>
      <w:r w:rsidRPr="004877E4">
        <w:t xml:space="preserve">, изложенного в настоящих </w:t>
      </w:r>
      <w:r w:rsidR="00AA627E">
        <w:rPr>
          <w:lang w:val="ru-RU"/>
        </w:rPr>
        <w:t>У</w:t>
      </w:r>
      <w:proofErr w:type="spellStart"/>
      <w:r w:rsidRPr="004877E4">
        <w:t>словиях</w:t>
      </w:r>
      <w:proofErr w:type="spellEnd"/>
      <w:r w:rsidRPr="004877E4">
        <w:t xml:space="preserve"> и безусловно соглашается с его условиями и обязуется их выполнять.</w:t>
      </w:r>
    </w:p>
    <w:p w:rsidR="00A05A57" w:rsidRPr="004877E4" w:rsidRDefault="00A05A57" w:rsidP="004877E4">
      <w:pPr>
        <w:pStyle w:val="BD11"/>
      </w:pPr>
      <w:r w:rsidRPr="004877E4">
        <w:t xml:space="preserve">Клиент получает ГЛОБАЛЬНЫЕ ДАННЫЕ </w:t>
      </w:r>
      <w:r w:rsidR="00E16AE7">
        <w:t>NASDAQ</w:t>
      </w:r>
      <w:r w:rsidRPr="004877E4">
        <w:t xml:space="preserve"> уровня LEVEL 1 в соответствии с Тарифами Брокера. Для получения доступа к ГЛОБАЛЬНЫМ ДАННЫМ </w:t>
      </w:r>
      <w:r w:rsidR="00E16AE7">
        <w:t>NASDAQ</w:t>
      </w:r>
      <w:r w:rsidRPr="004877E4">
        <w:t xml:space="preserve"> уровня LEVEL 2 в личном кабинете клиента в сети «Интернет» на сайте Брокера необходимо создать поручение на подписку на ГЛОБАЛЬНЫЕ ДАННЫЕ </w:t>
      </w:r>
      <w:r w:rsidR="00E16AE7">
        <w:t>NASDAQ</w:t>
      </w:r>
      <w:r w:rsidRPr="004877E4">
        <w:t xml:space="preserve"> уровня LEVEL 2. Это поручение будет являться согласием Клиента на подписку в соответствии с Тарифами Брокера.</w:t>
      </w:r>
    </w:p>
    <w:p w:rsidR="00A05A57" w:rsidRPr="004877E4" w:rsidRDefault="00A05A57" w:rsidP="004877E4">
      <w:pPr>
        <w:pStyle w:val="BD11"/>
      </w:pPr>
      <w:r w:rsidRPr="004877E4">
        <w:t xml:space="preserve">Брокер в соответствии с ПОЛИТИКОЙ ОТЧЕТНОСТИ </w:t>
      </w:r>
      <w:r w:rsidR="00E16AE7">
        <w:t>NASDAQ</w:t>
      </w:r>
      <w:r w:rsidRPr="004877E4">
        <w:t>, настоящим</w:t>
      </w:r>
      <w:r w:rsidR="00AA627E">
        <w:rPr>
          <w:lang w:val="ru-RU"/>
        </w:rPr>
        <w:t>и</w:t>
      </w:r>
      <w:r w:rsidRPr="004877E4">
        <w:t xml:space="preserve"> </w:t>
      </w:r>
      <w:r w:rsidR="00AA627E">
        <w:rPr>
          <w:lang w:val="ru-RU"/>
        </w:rPr>
        <w:t>Условиями</w:t>
      </w:r>
      <w:r w:rsidRPr="004877E4">
        <w:t xml:space="preserve"> и Глобальным Клиентским соглашением </w:t>
      </w:r>
      <w:r w:rsidR="00E16AE7">
        <w:t>NASDAQ</w:t>
      </w:r>
      <w:r w:rsidRPr="004877E4">
        <w:t xml:space="preserve"> подает ежеквартальные отчеты Дистрибьютору о количестве Клиентов ГЛОБАЛЬНЫХ ДАННЫХ </w:t>
      </w:r>
      <w:r w:rsidR="00E16AE7">
        <w:t>NASDAQ</w:t>
      </w:r>
      <w:r w:rsidRPr="004877E4">
        <w:t>, с указанием их статуса: Профессиональный или Непрофессиональный.</w:t>
      </w:r>
    </w:p>
    <w:p w:rsidR="00A05A57" w:rsidRPr="004877E4" w:rsidRDefault="00A05A57" w:rsidP="004877E4">
      <w:pPr>
        <w:pStyle w:val="BD11"/>
      </w:pPr>
      <w:r w:rsidRPr="004877E4">
        <w:lastRenderedPageBreak/>
        <w:t xml:space="preserve">Брокер и Дистрибьютор не несут ответственности перед Клиентом за любые убытки, причиненные временной остановкой, прерыванием передачи ГЛОБАЛЬНЫХ ДАННЫХ </w:t>
      </w:r>
      <w:r w:rsidR="00E16AE7">
        <w:t>NASDAQ</w:t>
      </w:r>
      <w:r w:rsidRPr="004877E4">
        <w:t>, неполноту и (или) неточность информации, за исключением случаев умышленных неправомерных действий со стороны Брокера и/или Дистрибьютора.</w:t>
      </w:r>
    </w:p>
    <w:p w:rsidR="00A05A57" w:rsidRPr="004877E4" w:rsidRDefault="00A05A57" w:rsidP="004877E4">
      <w:pPr>
        <w:pStyle w:val="BD11"/>
      </w:pPr>
      <w:r w:rsidRPr="004877E4">
        <w:t xml:space="preserve">ИСПОЛЬЗОВАНИЕ ДАННЫХ. Клиент не может продавать, сдавать, представлять или иным образом разрешать или предоставлять доступ к Информации любому другому лицу или любому другому должностному лицу. Клиент не должен участвовать в каких-либо операциях по незаконному использованию Информации в служебных целях или разрешать кому-либо другому использовать Информацию или любую ее часть в любых незаконных целях или нарушать любое правило </w:t>
      </w:r>
      <w:r w:rsidR="00E16AE7">
        <w:t>NASDAQ</w:t>
      </w:r>
      <w:r w:rsidRPr="004877E4">
        <w:t xml:space="preserve"> или Комиссии по ценным бумагам и биржам США ("SEC") или любое правило Управления финансового надзора ("FSA") или нарушать другое применимое законодательство, правило или регулирование. Клиент не может предоставлять Информацию, которая является незаконной, вводит в заблуждение или является дискриминационной. Клиент должен принять разумные меры безопасности, чтобы предотвратить несанкционированный доступ к информации.</w:t>
      </w:r>
    </w:p>
    <w:p w:rsidR="00A05A57" w:rsidRPr="004877E4" w:rsidRDefault="00A05A57" w:rsidP="004877E4">
      <w:pPr>
        <w:pStyle w:val="BD11"/>
      </w:pPr>
      <w:r w:rsidRPr="004877E4">
        <w:t xml:space="preserve">Непрофессиональный или Частный Клиент. Для Непрофессионального или Частного Клиента информация лицензируется только для личного использования. Представляя Дистрибьютору информацию о том, что Клиент является Непрофессиональным или Частным Клиентом, или продолжая получать Информацию по непрофессиональному или частному Клиентскому тарифу, Клиент подтверждает Дистрибьютору и </w:t>
      </w:r>
      <w:r w:rsidR="00E16AE7">
        <w:t>NASDAQ</w:t>
      </w:r>
      <w:r w:rsidRPr="004877E4">
        <w:t xml:space="preserve">, что Клиент соответствует определению Непрофессионального или Делового Клиента, изложенному в разделе 12 </w:t>
      </w:r>
      <w:r w:rsidR="00AA627E">
        <w:t>настоящих Условий</w:t>
      </w:r>
      <w:r w:rsidRPr="004877E4">
        <w:t xml:space="preserve">. Непрофессиональный или Частный Клиент обязан незамедлительно выполнить любой обоснованный запрос от </w:t>
      </w:r>
      <w:r w:rsidR="00E16AE7">
        <w:t>NASDAQ</w:t>
      </w:r>
      <w:r w:rsidRPr="004877E4">
        <w:t xml:space="preserve"> относительно получения, обработки, отображения и распространения Информации Непрофессиональным Клиентом.</w:t>
      </w:r>
    </w:p>
    <w:p w:rsidR="00A05A57" w:rsidRPr="004877E4" w:rsidRDefault="00A05A57" w:rsidP="004877E4">
      <w:pPr>
        <w:pStyle w:val="BD11"/>
      </w:pPr>
      <w:r w:rsidRPr="004877E4">
        <w:t xml:space="preserve">Профессиональный или Деловой Клиент. Для Профессионального или Делового Клиента Информация лицензируется для внутреннего использования в служебных целях / или личного использования Профессионального или Делового Клиента. Профессиональные или Деловые Клиенты могут на непостоянной основе предоставлять ограниченные объемы Информации клиентам в письменной рекламе, переписке или другой документации или во время голосовых телефонных разговоров, не связанных с компьютеризированной голосовой связью, автоматизированными информационно-справочными системами или аналогичными технологиями. По запросу Профессиональные или Деловые Клиенты должны предоставить в разумные сроки, с разумным уведомлением для обеспечения соблюдения </w:t>
      </w:r>
      <w:r w:rsidR="00AA627E">
        <w:t>настоящих Условий</w:t>
      </w:r>
      <w:r w:rsidRPr="004877E4">
        <w:t xml:space="preserve">, свои помещения в распоряжение </w:t>
      </w:r>
      <w:r w:rsidR="00E16AE7">
        <w:t>NASDAQ</w:t>
      </w:r>
      <w:r w:rsidRPr="004877E4">
        <w:t xml:space="preserve"> для физической проверки Услуг Дистрибьютора и использования Информации Профессиональными или Деловыми Клиентами (включая просмотр любых записей, касающихся использования Информации или доступа к ней, а также количества и местоположения всех устройств, получающих Информацию).</w:t>
      </w:r>
    </w:p>
    <w:p w:rsidR="00A05A57" w:rsidRPr="004877E4" w:rsidRDefault="00A05A57" w:rsidP="004877E4">
      <w:pPr>
        <w:pStyle w:val="BD11"/>
      </w:pPr>
      <w:r w:rsidRPr="004877E4">
        <w:t xml:space="preserve">СОБСТВЕННЫЕ ДАННЫЕ. </w:t>
      </w:r>
      <w:r w:rsidR="00E16AE7">
        <w:t>NASDAQ</w:t>
      </w:r>
      <w:r w:rsidRPr="004877E4">
        <w:t xml:space="preserve"> предоставляет Клиенту неисключительную, не подлежащую передаче лицензию в течение срока действия </w:t>
      </w:r>
      <w:r w:rsidR="003250E4">
        <w:rPr>
          <w:lang w:val="ru-RU"/>
        </w:rPr>
        <w:t>Условий</w:t>
      </w:r>
      <w:r w:rsidRPr="004877E4">
        <w:t xml:space="preserve"> на получение и использование Информации, передаваемой ему Дистрибьютором, а затем на использование такой Информации, которая разрешена условиями </w:t>
      </w:r>
      <w:r w:rsidR="00AA627E">
        <w:t>настоящих Условий</w:t>
      </w:r>
      <w:r w:rsidRPr="004877E4">
        <w:t xml:space="preserve"> и/или Требованиями </w:t>
      </w:r>
      <w:r w:rsidR="00E16AE7">
        <w:t>NASDAQ</w:t>
      </w:r>
      <w:r w:rsidRPr="004877E4">
        <w:t xml:space="preserve">. Клиент признает и соглашается с тем, что </w:t>
      </w:r>
      <w:r w:rsidR="00E16AE7">
        <w:t>NASDAQ</w:t>
      </w:r>
      <w:r w:rsidRPr="004877E4">
        <w:t xml:space="preserve"> имеет права собственности на Информацию, которая извлекается из рынков, регулируемых или управляемых </w:t>
      </w:r>
      <w:r w:rsidR="00E16AE7">
        <w:t>NASDAQ</w:t>
      </w:r>
      <w:r w:rsidRPr="004877E4">
        <w:t xml:space="preserve">, и на компиляцию или другие права на Информацию, собранную из других источников. Клиент также признает и соглашается с тем, что сторонние поставщики информации </w:t>
      </w:r>
      <w:r w:rsidR="00E16AE7">
        <w:t>NASDAQ</w:t>
      </w:r>
      <w:r w:rsidRPr="004877E4">
        <w:t xml:space="preserve"> имеют исключительные права собственности на их соответствующую Информацию. В случае любого незаконного присвоения или неправомерного использования Клиентом или любым лицом, получающим доступ к Информации через Клиента, </w:t>
      </w:r>
      <w:r w:rsidR="00E16AE7">
        <w:t>NASDAQ</w:t>
      </w:r>
      <w:r w:rsidRPr="004877E4">
        <w:t xml:space="preserve"> или ее сторонние поставщики информации имеют право получить судебные запреты в отношении своих соответствующих материалов. Клиент будет приписывать источник соответствующим образом при любых обстоятельствах.</w:t>
      </w:r>
    </w:p>
    <w:p w:rsidR="00A05A57" w:rsidRPr="004877E4" w:rsidRDefault="00A05A57" w:rsidP="004877E4">
      <w:pPr>
        <w:pStyle w:val="BD11"/>
      </w:pPr>
      <w:r w:rsidRPr="004877E4">
        <w:t xml:space="preserve">ОПЛАТА. Клиент принимает на себя полную ответственность за уплату любых налогов, сборов или отчислений, взимаемых с Клиента или </w:t>
      </w:r>
      <w:r w:rsidR="00E16AE7">
        <w:t>NASDAQ</w:t>
      </w:r>
      <w:r w:rsidRPr="004877E4">
        <w:t xml:space="preserve"> (за исключением федеральных, государственных или местных подоходных налогов, если таковые имеются, взимаемых с </w:t>
      </w:r>
      <w:r w:rsidR="00E16AE7">
        <w:t>NASDAQ</w:t>
      </w:r>
      <w:r w:rsidRPr="004877E4">
        <w:t xml:space="preserve">) любыми иностранными или внутренними, государственными, региональными или местными государственными органами или их подразделениями, а также любых штрафов или процентов, связанных с предоставлением Информации Клиенту. Проценты причитаются с даты </w:t>
      </w:r>
      <w:r w:rsidRPr="004877E4">
        <w:lastRenderedPageBreak/>
        <w:t xml:space="preserve">выставления счета до момента, когда причитающиеся суммы были выплачены. В пределах, допускаемых действующим законодательством, Клиент признает и соглашается с тем, что прекращение предоставления Услуг Дистрибьютора за неуплату не считается неправомерным ограничением доступа со стороны </w:t>
      </w:r>
      <w:r w:rsidR="00E16AE7">
        <w:t>NASDAQ</w:t>
      </w:r>
      <w:r w:rsidRPr="004877E4">
        <w:t xml:space="preserve">. Для Профессиональных или Деловых Клиентов, в случае если какой-либо платеж должен быть произведен непосредственно </w:t>
      </w:r>
      <w:r w:rsidR="00E16AE7">
        <w:t>NASDAQ</w:t>
      </w:r>
      <w:r w:rsidRPr="004877E4">
        <w:t xml:space="preserve"> в соответствии с </w:t>
      </w:r>
      <w:r w:rsidR="00AA627E">
        <w:t>настоящими Условиями</w:t>
      </w:r>
      <w:r w:rsidRPr="004877E4">
        <w:t xml:space="preserve">, оплата в полном объеме должна быть немедленно произведена </w:t>
      </w:r>
      <w:r w:rsidR="00E16AE7">
        <w:t>NASDAQ</w:t>
      </w:r>
      <w:r w:rsidRPr="004877E4">
        <w:t xml:space="preserve"> в доступных денежных средствах, в валюте, указанной </w:t>
      </w:r>
      <w:r w:rsidR="00E16AE7">
        <w:t>NASDAQ</w:t>
      </w:r>
      <w:r w:rsidRPr="004877E4">
        <w:t xml:space="preserve"> чеком </w:t>
      </w:r>
      <w:r w:rsidR="00E16AE7">
        <w:t>NASDAQ</w:t>
      </w:r>
      <w:r w:rsidRPr="004877E4">
        <w:t xml:space="preserve">, электронным переводом средств в учреждение по выбору </w:t>
      </w:r>
      <w:r w:rsidR="00E16AE7">
        <w:t>NASDAQ</w:t>
      </w:r>
      <w:r w:rsidRPr="004877E4">
        <w:t xml:space="preserve"> или любой другой формой оплаты в течение 15 (пятнадцати) дней с даты выставления счета, независимо от того, используется ли Информация или осуществляется доступ к ней. </w:t>
      </w:r>
    </w:p>
    <w:p w:rsidR="00A05A57" w:rsidRPr="004877E4" w:rsidRDefault="00A05A57" w:rsidP="004877E4">
      <w:pPr>
        <w:pStyle w:val="BD11"/>
      </w:pPr>
      <w:r w:rsidRPr="004877E4">
        <w:t xml:space="preserve">СИСТЕМА. Клиент признает, что </w:t>
      </w:r>
      <w:r w:rsidR="00E16AE7">
        <w:t>NASDAQ</w:t>
      </w:r>
      <w:r w:rsidRPr="004877E4">
        <w:t xml:space="preserve"> по своему усмотрению может время от времени вносить изменения в свою систему или Информацию. Такие изменения могут потребовать внесения соответствующих изменений в Услуги Дистрибьютора.</w:t>
      </w:r>
      <w:r w:rsidR="008F2FEA">
        <w:t xml:space="preserve"> </w:t>
      </w:r>
      <w:r w:rsidRPr="004877E4">
        <w:t>Изменения или несвоевременное внесение изменений Дистрибьютором или Клиентом может ограничить или повлиять на доступ Клиента к Информации или к ее использованию.</w:t>
      </w:r>
      <w:r w:rsidR="008F2FEA">
        <w:t xml:space="preserve"> </w:t>
      </w:r>
      <w:r w:rsidR="00E16AE7">
        <w:t>NASDAQ</w:t>
      </w:r>
      <w:r w:rsidRPr="004877E4">
        <w:t xml:space="preserve"> не несет ответственности за такие последствия.</w:t>
      </w:r>
      <w:r w:rsidR="008F2FEA">
        <w:t xml:space="preserve"> </w:t>
      </w:r>
      <w:r w:rsidR="00E16AE7">
        <w:t>NASDAQ</w:t>
      </w:r>
      <w:r w:rsidRPr="004877E4">
        <w:t xml:space="preserve"> не подписывает и не подтверждает какое-либо оборудование, Дистрибьютора или Услуги Дистрибьютора.</w:t>
      </w:r>
    </w:p>
    <w:p w:rsidR="00A05A57" w:rsidRPr="00A05A57" w:rsidRDefault="00A05A57" w:rsidP="004877E4">
      <w:pPr>
        <w:pStyle w:val="BD11"/>
      </w:pPr>
      <w:r w:rsidRPr="00A05A57">
        <w:t>ИСКЛЮЧИТЕЛЬНОЕ СРЕДСТВО ЗАЩИТЫ.</w:t>
      </w:r>
      <w:r w:rsidR="008F2FEA">
        <w:t xml:space="preserve"> </w:t>
      </w:r>
      <w:r w:rsidR="00E16AE7">
        <w:t>NASDAQ</w:t>
      </w:r>
      <w:r w:rsidRPr="00A05A57">
        <w:t xml:space="preserve"> стремится предоставлять Информацию настолько быстро и точно, насколько это возможно. В случае, если Информация не будет доступна в результате невыполнения </w:t>
      </w:r>
      <w:r w:rsidR="00E16AE7">
        <w:t>NASDAQ</w:t>
      </w:r>
      <w:r w:rsidRPr="00A05A57">
        <w:t xml:space="preserve"> своих обязательств по </w:t>
      </w:r>
      <w:proofErr w:type="spellStart"/>
      <w:r w:rsidRPr="00A05A57">
        <w:t>настоящ</w:t>
      </w:r>
      <w:r w:rsidR="00AA627E">
        <w:rPr>
          <w:lang w:val="ru-RU"/>
        </w:rPr>
        <w:t>и</w:t>
      </w:r>
      <w:proofErr w:type="spellEnd"/>
      <w:r w:rsidRPr="00A05A57">
        <w:t xml:space="preserve">м </w:t>
      </w:r>
      <w:r w:rsidR="00AA627E">
        <w:rPr>
          <w:lang w:val="ru-RU"/>
        </w:rPr>
        <w:t>Условиям</w:t>
      </w:r>
      <w:r w:rsidRPr="00A05A57">
        <w:t xml:space="preserve">, </w:t>
      </w:r>
      <w:r w:rsidR="00E16AE7">
        <w:t>NASDAQ</w:t>
      </w:r>
      <w:r w:rsidRPr="00A05A57">
        <w:t xml:space="preserve"> предпримет все усилия для исправления такого невыполнения. Если Информация недоступна, задерживается, прерывается, является неполной или неточной или иным образом существенно непрерывно повреждается в течение 4 (четырех) часов или более, в течение которого </w:t>
      </w:r>
      <w:r w:rsidR="00E16AE7">
        <w:t>NASDAQ</w:t>
      </w:r>
      <w:r w:rsidRPr="00A05A57">
        <w:t xml:space="preserve"> регулярно передает Информацию, по вине </w:t>
      </w:r>
      <w:r w:rsidR="00E16AE7">
        <w:t>NASDAQ</w:t>
      </w:r>
      <w:r w:rsidRPr="00A05A57">
        <w:t xml:space="preserve"> (за исключением причины, разрешенной в </w:t>
      </w:r>
      <w:r w:rsidR="00AA627E">
        <w:t>настоящих Условиях</w:t>
      </w:r>
      <w:r w:rsidRPr="00A05A57">
        <w:t xml:space="preserve"> или в Договоре </w:t>
      </w:r>
      <w:r w:rsidR="00E16AE7">
        <w:t>NASDAQ</w:t>
      </w:r>
      <w:r w:rsidRPr="00A05A57">
        <w:t xml:space="preserve"> с Дистрибьютором), исключительное средство правовой защиты Клиента или любого другого лица против </w:t>
      </w:r>
      <w:r w:rsidR="00E16AE7">
        <w:t>NASDAQ</w:t>
      </w:r>
      <w:r w:rsidRPr="00A05A57">
        <w:t xml:space="preserve"> должно быть:</w:t>
      </w:r>
    </w:p>
    <w:p w:rsidR="00A05A57" w:rsidRPr="00A05A57" w:rsidRDefault="00A05A57" w:rsidP="004877E4">
      <w:pPr>
        <w:pStyle w:val="BD6"/>
      </w:pPr>
      <w:r w:rsidRPr="00A05A57">
        <w:t>а.</w:t>
      </w:r>
      <w:r w:rsidRPr="00A05A57">
        <w:tab/>
        <w:t xml:space="preserve">Если Клиент или любое другое лицо продолжает получать Информацию или любые другие данные и/или Информацию, предлагаемую </w:t>
      </w:r>
      <w:r w:rsidR="00E16AE7">
        <w:t>NASDAQ</w:t>
      </w:r>
      <w:r w:rsidRPr="00A05A57">
        <w:t xml:space="preserve">, то к оплате подлежит пропорциональный месячный платеж, за полученную Информацию непосредственно </w:t>
      </w:r>
      <w:r w:rsidR="00E16AE7">
        <w:t>NASDAQ</w:t>
      </w:r>
      <w:r w:rsidR="008F2FEA">
        <w:t xml:space="preserve"> </w:t>
      </w:r>
      <w:r w:rsidRPr="00A05A57">
        <w:t>от Клиента или, если применимо, от указанного другого лица, за рассматриваемый период; или</w:t>
      </w:r>
    </w:p>
    <w:p w:rsidR="00A05A57" w:rsidRPr="00A05A57" w:rsidRDefault="00A05A57" w:rsidP="004877E4">
      <w:pPr>
        <w:pStyle w:val="BD6"/>
      </w:pPr>
      <w:r w:rsidRPr="00A05A57">
        <w:t>b.</w:t>
      </w:r>
      <w:r w:rsidRPr="00A05A57">
        <w:tab/>
        <w:t xml:space="preserve">Если Клиент или любое другое лицо больше не получает Информацию или любые другие данные и/или Информацию, предлагаемую </w:t>
      </w:r>
      <w:r w:rsidR="00E16AE7">
        <w:t>NASDAQ</w:t>
      </w:r>
      <w:r w:rsidRPr="00A05A57">
        <w:t xml:space="preserve">, то к оплате подлежит пропорциональное месячное возмещение любых денежных средств за полученную Информацию непосредственно </w:t>
      </w:r>
      <w:r w:rsidR="00E16AE7">
        <w:t>NASDAQ</w:t>
      </w:r>
      <w:r w:rsidRPr="00A05A57">
        <w:t xml:space="preserve"> от Клиента или, если применимо, от указанного другого лица, за рассматриваемый период.</w:t>
      </w:r>
    </w:p>
    <w:p w:rsidR="00A05A57" w:rsidRPr="00A05A57" w:rsidRDefault="00A05A57" w:rsidP="004877E4">
      <w:pPr>
        <w:pStyle w:val="BD6"/>
      </w:pPr>
      <w:r w:rsidRPr="00A05A57">
        <w:t xml:space="preserve">Такой платеж или возмещение, если это применимо, должны быть запрошены в письменной форме в </w:t>
      </w:r>
      <w:r w:rsidR="00E16AE7">
        <w:t>NASDAQ</w:t>
      </w:r>
      <w:r w:rsidRPr="00A05A57">
        <w:t xml:space="preserve"> со всеми соответствующими деталями.</w:t>
      </w:r>
      <w:r w:rsidR="008F2FEA">
        <w:t xml:space="preserve"> </w:t>
      </w:r>
      <w:r w:rsidRPr="00A05A57">
        <w:t xml:space="preserve">Помимо гарантий, указанных в данном разделе, не существует никаких других гарантий любого рода — явных, подразумеваемых, установленных законом (в том числе, помимо прочего, своевременность, правдивость, последовательность, полноту, точность, свободу от прерывания), подразумеваемых гарантий, вытекающих из сведений по торговых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w:t>
      </w:r>
    </w:p>
    <w:p w:rsidR="00A05A57" w:rsidRPr="00A05A57" w:rsidRDefault="00A05A57" w:rsidP="00472699">
      <w:pPr>
        <w:pStyle w:val="BD11"/>
      </w:pPr>
      <w:r w:rsidRPr="00A05A57">
        <w:t>ОГРАНИЧЕНИЕ ОТВЕТСТВЕННОСТИ.</w:t>
      </w:r>
    </w:p>
    <w:p w:rsidR="00A05A57" w:rsidRPr="00A05A57" w:rsidRDefault="00A05A57" w:rsidP="004877E4">
      <w:pPr>
        <w:pStyle w:val="BD6"/>
      </w:pPr>
      <w:r w:rsidRPr="00A05A57">
        <w:t>а.</w:t>
      </w:r>
      <w:r w:rsidRPr="00A05A57">
        <w:tab/>
        <w:t xml:space="preserve">За исключением случаев, предусмотренных </w:t>
      </w:r>
      <w:r w:rsidR="00AA627E">
        <w:t>настоящими Условиями</w:t>
      </w:r>
      <w:r w:rsidRPr="00A05A57">
        <w:t xml:space="preserve">, </w:t>
      </w:r>
      <w:r w:rsidR="00E16AE7">
        <w:t>NASDAQ</w:t>
      </w:r>
      <w:r w:rsidRPr="00A05A57">
        <w:t xml:space="preserve"> не несет ответственности перед Клиентом, его Дистрибьютором или любым другим Лицом за косвенные, определенные, штрафные, непрямые или случайные убытки или ущерб (включая, но не ограничиваясь, торговые убытки, потерю ожидаемой прибыли, убытки по причине прекращения работы или увеличения операционных расходов, стоимости покрытия или другие косвенные убытки или ущерб) любого характера, возникающие по любой причине, даже если </w:t>
      </w:r>
      <w:r w:rsidR="00E16AE7">
        <w:t>NASDAQ</w:t>
      </w:r>
      <w:r w:rsidRPr="00A05A57">
        <w:t xml:space="preserve"> была предупреждена о возможности таких убытков.</w:t>
      </w:r>
    </w:p>
    <w:p w:rsidR="00A05A57" w:rsidRPr="00A05A57" w:rsidRDefault="00A05A57" w:rsidP="004877E4">
      <w:pPr>
        <w:pStyle w:val="BD6"/>
      </w:pPr>
      <w:r w:rsidRPr="00A05A57">
        <w:t>b.</w:t>
      </w:r>
      <w:r w:rsidRPr="00A05A57">
        <w:tab/>
      </w:r>
      <w:r w:rsidR="00E16AE7">
        <w:t>NASDAQ</w:t>
      </w:r>
      <w:r w:rsidRPr="00A05A57">
        <w:t xml:space="preserve"> не несет ответственности перед Клиентом или любым другим лицом за любую недоступность, прерывание, задержку, неполноту или неточность Информации, которая длится менее 4 (четырех) непрерывных часов, в течение которых </w:t>
      </w:r>
      <w:r w:rsidR="00E16AE7">
        <w:t>NASDAQ</w:t>
      </w:r>
      <w:r w:rsidRPr="00A05A57">
        <w:t xml:space="preserve"> регулярно передает Информацию, или если Информация существенно затронута в течение менее 4 (четырех) непрерывных часов, когда </w:t>
      </w:r>
      <w:r w:rsidR="00E16AE7">
        <w:t>NASDAQ</w:t>
      </w:r>
      <w:r w:rsidRPr="00A05A57">
        <w:t xml:space="preserve"> регулярно передает Информацию.</w:t>
      </w:r>
    </w:p>
    <w:p w:rsidR="00A05A57" w:rsidRPr="00A05A57" w:rsidRDefault="00A05A57" w:rsidP="004877E4">
      <w:pPr>
        <w:pStyle w:val="BD6"/>
      </w:pPr>
      <w:r w:rsidRPr="00A05A57">
        <w:lastRenderedPageBreak/>
        <w:t>c.</w:t>
      </w:r>
      <w:r w:rsidRPr="00A05A57">
        <w:tab/>
        <w:t xml:space="preserve">Если </w:t>
      </w:r>
      <w:r w:rsidR="00E16AE7">
        <w:t>NASDAQ</w:t>
      </w:r>
      <w:r w:rsidRPr="00A05A57">
        <w:t xml:space="preserve"> по какой-либо причине несет ответственность перед Клиентом или любым другим лицом, будь то по договору или в результате деликта, ответственность </w:t>
      </w:r>
      <w:r w:rsidR="00E16AE7">
        <w:t>NASDAQ</w:t>
      </w:r>
      <w:r w:rsidRPr="00A05A57">
        <w:t xml:space="preserve"> в течение одного года действия </w:t>
      </w:r>
      <w:r w:rsidR="002F0A85">
        <w:t>д</w:t>
      </w:r>
      <w:r w:rsidRPr="00A05A57">
        <w:t xml:space="preserve">оговора (один год с даты вступления в силу </w:t>
      </w:r>
      <w:r w:rsidR="002F0A85">
        <w:t>д</w:t>
      </w:r>
      <w:r w:rsidRPr="00A05A57">
        <w:t>оговора) ограничивается суммой убытков Клиента, которые фактически понесены Клиентом в разумных пределах (в сочетании с общей суммой всех претензий или убытков Дистрибьютора Клиента и любого другого лица, претендующего через, от имени или в качестве потерпевшей стороны от Клиента), и сумма которых не превышает меньшую часть:</w:t>
      </w:r>
    </w:p>
    <w:p w:rsidR="00A05A57" w:rsidRPr="00A05A57" w:rsidRDefault="00A05A57" w:rsidP="004877E4">
      <w:pPr>
        <w:pStyle w:val="BD6"/>
      </w:pPr>
      <w:r w:rsidRPr="00A05A57">
        <w:t xml:space="preserve">Для Клиента или любого другого лица, которое продолжает получать Информацию или любые другие данные и/или Информацию, предлагаемую </w:t>
      </w:r>
      <w:r w:rsidR="00E16AE7">
        <w:t>NASDAQ</w:t>
      </w:r>
      <w:r w:rsidRPr="00A05A57">
        <w:t xml:space="preserve">, к оплате подлежит пропорциональный месячный кредит любых денежных средств, причитающихся непосредственно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 если Клиент или любое другое Лицо больше не получает Информацию или любые другие данные и/или Информацию, предлагаемую</w:t>
      </w:r>
      <w:r w:rsidR="008F2FEA">
        <w:t xml:space="preserve"> </w:t>
      </w:r>
      <w:r w:rsidR="00E16AE7">
        <w:t>NASDAQ</w:t>
      </w:r>
      <w:r w:rsidRPr="00A05A57">
        <w:t>, возврат любых денежных средств, причитающихся непосредственно</w:t>
      </w:r>
      <w:r w:rsidR="008F2FEA">
        <w:t xml:space="preserve">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w:t>
      </w:r>
    </w:p>
    <w:p w:rsidR="00A05A57" w:rsidRPr="00A05A57" w:rsidRDefault="00A05A57" w:rsidP="004877E4">
      <w:pPr>
        <w:pStyle w:val="BD6"/>
      </w:pPr>
      <w:r w:rsidRPr="00A05A57">
        <w:t xml:space="preserve">Настоящий раздел не освобождает </w:t>
      </w:r>
      <w:r w:rsidR="00E16AE7">
        <w:t>NASDAQ</w:t>
      </w:r>
      <w:r w:rsidRPr="00A05A57">
        <w:t>, Клиента или любое другое Лицо от ответственности за ущерб, возникший в результате их собственной грубой небрежности или умышленного неправомерного поведения, а также от претензий в связи с причинением вреда здоровью или смерти в результате противоправных действий.</w:t>
      </w:r>
    </w:p>
    <w:p w:rsidR="00A05A57" w:rsidRPr="00A05A57" w:rsidRDefault="00A05A57" w:rsidP="004877E4">
      <w:pPr>
        <w:pStyle w:val="BD6"/>
      </w:pPr>
      <w:r w:rsidRPr="00A05A57">
        <w:t xml:space="preserve">Клиент и </w:t>
      </w:r>
      <w:r w:rsidR="00E16AE7">
        <w:t>NASDAQ</w:t>
      </w:r>
      <w:r w:rsidRPr="00A05A57">
        <w:t xml:space="preserve"> понимают и соглашаются с тем, что условия настоящего раздела отражают разумное распределение риска и ограничение ответственности.</w:t>
      </w:r>
    </w:p>
    <w:p w:rsidR="00A05A57" w:rsidRPr="00A05A57" w:rsidRDefault="00A05A57" w:rsidP="004877E4">
      <w:pPr>
        <w:pStyle w:val="BD11"/>
      </w:pPr>
      <w:r w:rsidRPr="00A05A57">
        <w:t xml:space="preserve">ОТКАЗ ОТ ГАРАНТИЙ. </w:t>
      </w:r>
      <w:r w:rsidR="00E16AE7">
        <w:t>NASDAQ</w:t>
      </w:r>
      <w:r w:rsidRPr="00A05A57">
        <w:t xml:space="preserve"> и ее сторонние поставщики информации не дают никаких гарантий — явных, подразумеваемых или установленных законом (в том числе, помимо прочего, своевременность, правдивость, последовательность, полноту, точность, свободу от прерывания), любых подразумеваемых гарантий, вытекающих сведений по торговому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или </w:t>
      </w:r>
      <w:proofErr w:type="spellStart"/>
      <w:r w:rsidRPr="00A05A57">
        <w:t>ненарушения</w:t>
      </w:r>
      <w:proofErr w:type="spellEnd"/>
      <w:r w:rsidRPr="00A05A57">
        <w:t xml:space="preserve"> прав интеллектуальной собственности.</w:t>
      </w:r>
    </w:p>
    <w:p w:rsidR="00A05A57" w:rsidRPr="00A05A57" w:rsidRDefault="00A05A57" w:rsidP="004877E4">
      <w:pPr>
        <w:pStyle w:val="BD11"/>
      </w:pPr>
      <w:r w:rsidRPr="00A05A57">
        <w:t xml:space="preserve">ОГРАНИЧЕНИЕ ОТВЕТСТВЕННОСТИ СТОРОННИХ ПОСТАВЩИКОВ ИНФОРМАЦИИ. Сторонние поставщики информации </w:t>
      </w:r>
      <w:r w:rsidR="00E16AE7">
        <w:t>NASDAQ</w:t>
      </w:r>
      <w:r w:rsidRPr="00A05A57">
        <w:t xml:space="preserve"> не несут ответственности за любые прямые или косвенные убытки, за точность Информации, за задержки или упущения в любой предоставленной ими Информации, упущенную выгоду, специальные или косвенные убытки Клиента или любого другого лица, ищущего судебной защиты через Клиента, даже если сторонние поставщики информации были уведомлены о возможности таких убытков. Ни в коем случае ответственность сторонних поставщиков информации или их аффилированных лиц перед Клиентом или любым другим Лицом, ищущим судебную защиты через Клиента в соответствии с любой причиной иска, будь то в договоре, деликте или иным образом, не превышает плату, уплаченную Клиентом или любым другим лицом, ищущим судебной защиты через Клиента, в зависимости от обстоятельств.</w:t>
      </w:r>
    </w:p>
    <w:p w:rsidR="00A05A57" w:rsidRPr="00A05A57" w:rsidRDefault="00A05A57" w:rsidP="004877E4">
      <w:pPr>
        <w:pStyle w:val="BD11"/>
      </w:pPr>
      <w:r w:rsidRPr="00A05A57">
        <w:t xml:space="preserve">ПРЕТЕНЗИИ И УБЫТКИ. Клиент обязуется возместить </w:t>
      </w:r>
      <w:r w:rsidR="00E16AE7">
        <w:t>NASDAQ</w:t>
      </w:r>
      <w:r w:rsidR="008F2FEA">
        <w:t xml:space="preserve"> </w:t>
      </w:r>
      <w:r w:rsidRPr="00A05A57">
        <w:t xml:space="preserve">и удерживать </w:t>
      </w:r>
      <w:r w:rsidR="00E16AE7">
        <w:t>NASDAQ</w:t>
      </w:r>
      <w:r w:rsidR="008F2FEA">
        <w:t xml:space="preserve"> </w:t>
      </w:r>
      <w:r w:rsidRPr="00A05A57">
        <w:t>и ее сотрудников, должностных лиц, директоров и других агентов в безопасности от любых претензий или убытков, предъявленных, понесенных или заявленных в результате или в связи с:</w:t>
      </w:r>
      <w:r w:rsidR="008F2FEA">
        <w:t xml:space="preserve"> </w:t>
      </w:r>
      <w:r w:rsidRPr="00A05A57">
        <w:t xml:space="preserve">(а) любым несоблюдением Клиентом условий </w:t>
      </w:r>
      <w:r w:rsidR="00AA627E">
        <w:t>настоящих Условий</w:t>
      </w:r>
      <w:r w:rsidRPr="00A05A57">
        <w:t xml:space="preserve">; (b) любыми действиями третьих лиц, связанными с получением и использованием Клиентом Информации, санкционированной или несанкционированной в соответствии с </w:t>
      </w:r>
      <w:r w:rsidR="00AA627E">
        <w:t>настоящими Условиями</w:t>
      </w:r>
      <w:r w:rsidRPr="00A05A57">
        <w:t xml:space="preserve">. Каждая сторона гарантирует, представляет и будет освобождать от ответственности (и в каждом случае </w:t>
      </w:r>
      <w:r w:rsidR="00E16AE7">
        <w:t>NASDAQ</w:t>
      </w:r>
      <w:r w:rsidRPr="00A05A57">
        <w:t xml:space="preserve"> разрешается исключительно защищать и урегулировать) другую сторону (включая </w:t>
      </w:r>
      <w:r w:rsidR="00E16AE7">
        <w:t>NASDAQ</w:t>
      </w:r>
      <w:r w:rsidRPr="00A05A57">
        <w:t>) и ее должностных лиц, директоров, сотрудников и других агентов от любых претензий или убытков, возникающих в связи с претензией об ущемлении или ином нарушении прав интеллектуальной собственности со стороны возмещающей стороны, ее действий или бездействия, оборудованием или другим имуществом. Это право обусловлено тем, что возмещаемая сторона незамедлительно письменно уведомляет возмещающую сторону (что не наносит ущерба защите) о претензиях или убытках и оказывает содействие в защите претензий или убытков (без отказа от адвоката клиента, результата деятельности адвоката или другой юридической привилегии или раскрытия информации, которая по закону должна быть конфиденциальной).</w:t>
      </w:r>
    </w:p>
    <w:p w:rsidR="00A05A57" w:rsidRPr="00A05A57" w:rsidRDefault="00A05A57" w:rsidP="004877E4">
      <w:pPr>
        <w:pStyle w:val="BD11"/>
      </w:pPr>
      <w:r w:rsidRPr="00A05A57">
        <w:lastRenderedPageBreak/>
        <w:t xml:space="preserve">РАСТОРЖЕНИЕ. Клиент признает, что </w:t>
      </w:r>
      <w:r w:rsidR="00E16AE7">
        <w:t>NASDAQ</w:t>
      </w:r>
      <w:r w:rsidRPr="00A05A57">
        <w:t xml:space="preserve">, когда это требуется для выполнения установленных законом обязательств, может путем уведомления Дистрибьютора в одностороннем порядке ограничить или прекратить право любого или всех лиц на получение или использование Информации, и что Дистрибьютор немедленно выполнит любое такое уведомление и прекратит или ограничит предоставление Информации и подтвердит такое соответствие уведомлением </w:t>
      </w:r>
      <w:r w:rsidR="00E16AE7">
        <w:t>NASDAQ</w:t>
      </w:r>
      <w:r w:rsidRPr="00A05A57">
        <w:t xml:space="preserve"> . Любое затрагиваемое лицо будет иметь в своем распоряжении такие процессуальные средства защиты, которые предусмотрены законом и применимыми к нему правилами. В дополнение к расторжениям, разрешенным в соответствии с договором дистрибьютора, настоящие условия могут быть расторгнуты Клиентом с письменным уведомлением Дистрибьютора за 30 (тридцать) дней и </w:t>
      </w:r>
      <w:r w:rsidR="00E16AE7">
        <w:t>NASDAQ</w:t>
      </w:r>
      <w:r w:rsidRPr="00A05A57">
        <w:t xml:space="preserve"> с письменным уведомлением Дистрибьютора или Клиента за 30 (тридцать) дней. </w:t>
      </w:r>
      <w:r w:rsidR="00E16AE7">
        <w:t>NASDAQ</w:t>
      </w:r>
      <w:r w:rsidRPr="00A05A57">
        <w:t xml:space="preserve"> также может изменить любой срок действия настоящих Условий, направив письменное уведомление Дистрибьютору или Клиенту за 90 (девяносто) дней, и любое пользование после этой даты считается принятием новых условий. В случае нарушения Условий Клиентом, обнаружения ложных фактов, предоставленных Клиентом, или по указанию SEC в своем регулирующем органе, </w:t>
      </w:r>
      <w:r w:rsidR="00E16AE7">
        <w:t>NASDAQ</w:t>
      </w:r>
      <w:r w:rsidRPr="00A05A57">
        <w:t xml:space="preserve"> может расторгнуть настоящие Условия с письменным уведомлением Клиента, предоставленным либо </w:t>
      </w:r>
      <w:r w:rsidR="00E16AE7">
        <w:t>NASDAQ</w:t>
      </w:r>
      <w:r w:rsidRPr="00A05A57">
        <w:t>, либо Дистрибьютором не менее чем за 3 (три) дня.</w:t>
      </w:r>
    </w:p>
    <w:p w:rsidR="00A05A57" w:rsidRPr="00A05A57" w:rsidRDefault="00A05A57" w:rsidP="004877E4">
      <w:pPr>
        <w:pStyle w:val="BD11"/>
      </w:pPr>
      <w:r w:rsidRPr="00A05A57">
        <w:t xml:space="preserve">ПОПРАВКИ/ДОГОВОР. Если иное не предусмотрено настоящими Условиями, ни одно положение настоящего Условий не может быть изменено, отредактировано или отменено. Никакая неспособность </w:t>
      </w:r>
      <w:r w:rsidR="00E16AE7">
        <w:t>NASDAQ</w:t>
      </w:r>
      <w:r w:rsidRPr="00A05A57">
        <w:t xml:space="preserve"> или Клиента осуществить и никакая задержка в осуществлении, а также отсутствие действий в отношении каких-либо прав, полномочий или привилегий в соответствии с настоящими Условиями, не должны рассматриваться как отказ от них, а также не составляет отказ никакое одноразовое или частичное осуществление каких-либо прав, полномочий или привилегий в соответствии с </w:t>
      </w:r>
      <w:r w:rsidR="00AA627E">
        <w:t>настоящими Условиями</w:t>
      </w:r>
      <w:r w:rsidRPr="00A05A57">
        <w:t>, любое другое или дальнейшее их использование или осуществление любых других прав, полномочий или</w:t>
      </w:r>
      <w:r w:rsidR="008F2FEA">
        <w:t xml:space="preserve"> </w:t>
      </w:r>
      <w:r w:rsidRPr="00A05A57">
        <w:t xml:space="preserve">привилегий. Если какое-либо из положений настоящих Условий или их применение к какому-либо физическому лицу, организации или обстоятельству признается недействительным или не имеющим законной силы, остальная часть настоящих Условий или применение таких условий или положений к физическим лицам, организациям или обстоятельствам, отличным от тех, в отношении которых они считаются недействительными или не имеющими законной силы, не должны быть затронуты, и каждое такое условие и положение настоящих Условий являются действительными и подлежат исполнению в полной мере, разрешенной законом. В случае противоречий между условиями настоящих Условий и Договора Дистрибьютора, условия настоящих Условий имеют преимущественную силу, как и между </w:t>
      </w:r>
      <w:r w:rsidR="00E16AE7">
        <w:t>NASDAQ</w:t>
      </w:r>
      <w:r w:rsidRPr="00A05A57">
        <w:t xml:space="preserve"> и Абонентом. </w:t>
      </w:r>
    </w:p>
    <w:p w:rsidR="00A05A57" w:rsidRPr="00A05A57" w:rsidRDefault="00A05A57" w:rsidP="004877E4">
      <w:pPr>
        <w:pStyle w:val="BD6"/>
      </w:pPr>
      <w:r w:rsidRPr="00A05A57">
        <w:t xml:space="preserve">Настоящие Условия подлежит толкованию и применению, а его действительность и исполнение регулируются в </w:t>
      </w:r>
      <w:bookmarkStart w:id="0" w:name="_GoBack"/>
      <w:bookmarkEnd w:id="0"/>
      <w:r w:rsidRPr="00A05A57">
        <w:t>соответствии с законодательством штата Нью-Йорк, безотносительно к его нормам коллизионного права. Любой спор, который не может быть урегулирован мирным путем, вытекающий из настоящих Условий, подлежит рассмотрению в Арбитражном суде и проводится в соответствии с правилами Американской арбитражной ассоциации. Все такие судебные разбирательства проводятся в Нью-Йорке, штат Нью-Йорк, и проводятся на английском языке, который также является языком документов.</w:t>
      </w:r>
    </w:p>
    <w:p w:rsidR="004877E4" w:rsidRPr="00A05A57" w:rsidRDefault="004877E4" w:rsidP="004877E4">
      <w:pPr>
        <w:pStyle w:val="BD6"/>
      </w:pPr>
    </w:p>
    <w:p w:rsidR="00A05A57" w:rsidRPr="004877E4" w:rsidRDefault="00A05A57" w:rsidP="004877E4">
      <w:pPr>
        <w:pStyle w:val="BD1"/>
      </w:pPr>
      <w:r w:rsidRPr="004877E4">
        <w:t>ЗАВЕРЕНИЯ КЛИЕНТА. ДЕЙСТВИЯ, КОТОРЫЕ НЕОБХОДИМО ПРЕДПРИНЯТЬ ПРИ ВЫПОЛНЕНИИ ЮРИДИЧЕСКИХ ОБЯЗАТЕЛЬСТВ.</w:t>
      </w:r>
    </w:p>
    <w:p w:rsidR="00A05A57" w:rsidRPr="00A05A57" w:rsidRDefault="00A05A57" w:rsidP="004877E4">
      <w:pPr>
        <w:pStyle w:val="BD6"/>
      </w:pPr>
      <w:r w:rsidRPr="00A05A57">
        <w:t xml:space="preserve">а) Клиент признает, что в Соединенных Штатах Америки: (i) несколько Рынков </w:t>
      </w:r>
      <w:r w:rsidR="00E16AE7">
        <w:t>NASDAQ</w:t>
      </w:r>
      <w:r w:rsidRPr="00A05A57">
        <w:t xml:space="preserve"> зарегистрированы в SEC в качестве всеамериканской фондовой биржи в соответствии с разделом 6 Закона, а</w:t>
      </w:r>
      <w:r w:rsidR="008F2FEA">
        <w:t xml:space="preserve"> </w:t>
      </w:r>
      <w:r w:rsidRPr="00A05A57">
        <w:t>Агентство по регулированию деятельности финансовых институтов зарегистрировано в SEC в качестве национальной ассоциации ценных</w:t>
      </w:r>
      <w:r w:rsidR="008F2FEA">
        <w:t xml:space="preserve"> </w:t>
      </w:r>
      <w:r w:rsidRPr="00A05A57">
        <w:t>бумаг в соответствии с разделом 15A Закона; (</w:t>
      </w:r>
      <w:proofErr w:type="spellStart"/>
      <w:r w:rsidRPr="00A05A57">
        <w:t>ii</w:t>
      </w:r>
      <w:proofErr w:type="spellEnd"/>
      <w:r w:rsidRPr="00A05A57">
        <w:t xml:space="preserve">) Агентство по регулированию деятельности финансовых институтов и </w:t>
      </w:r>
      <w:r w:rsidR="00E16AE7">
        <w:t>NASDAQ</w:t>
      </w:r>
      <w:r w:rsidRPr="00A05A57">
        <w:t xml:space="preserve"> имеют юридическое обязательство защищать инвесторов и общественные</w:t>
      </w:r>
      <w:r w:rsidR="008F2FEA">
        <w:t xml:space="preserve"> </w:t>
      </w:r>
      <w:r w:rsidRPr="00A05A57">
        <w:t>интересы и обеспечивать, чтобы информация о котировках, предоставляемая</w:t>
      </w:r>
      <w:r w:rsidR="008F2FEA">
        <w:t xml:space="preserve"> </w:t>
      </w:r>
      <w:r w:rsidRPr="00A05A57">
        <w:t>инвесторам и общественности, была достоверной и полной, а не</w:t>
      </w:r>
      <w:r w:rsidR="008F2FEA">
        <w:t xml:space="preserve"> </w:t>
      </w:r>
      <w:r w:rsidRPr="00A05A57">
        <w:t>ущемляющей, фиктивной или вводящей в заблуждение;(</w:t>
      </w:r>
      <w:proofErr w:type="spellStart"/>
      <w:r w:rsidRPr="00A05A57">
        <w:t>iii</w:t>
      </w:r>
      <w:proofErr w:type="spellEnd"/>
      <w:r w:rsidRPr="00A05A57">
        <w:t xml:space="preserve">) раздел 19(g)(1) Закона предусматривает, что Агентство по регулированию деятельности финансовых институтов и </w:t>
      </w:r>
      <w:r w:rsidR="00E16AE7">
        <w:t>NASDAQ</w:t>
      </w:r>
      <w:r w:rsidRPr="00A05A57">
        <w:t xml:space="preserve"> соблюдают Требования </w:t>
      </w:r>
      <w:r w:rsidR="00E16AE7">
        <w:t>NASDAQ</w:t>
      </w:r>
      <w:r w:rsidRPr="00A05A57">
        <w:t xml:space="preserve">; (IV) </w:t>
      </w:r>
      <w:r w:rsidR="00E16AE7">
        <w:t>NASDAQ</w:t>
      </w:r>
      <w:r w:rsidRPr="00A05A57">
        <w:t xml:space="preserve"> обладает юрисдикцией для обеспечения</w:t>
      </w:r>
      <w:r w:rsidR="008F2FEA">
        <w:t xml:space="preserve"> </w:t>
      </w:r>
      <w:r w:rsidRPr="00A05A57">
        <w:t xml:space="preserve">соблюдения некоторых Требований </w:t>
      </w:r>
      <w:r w:rsidR="00E16AE7">
        <w:t>NASDAQ</w:t>
      </w:r>
      <w:r w:rsidRPr="00A05A57">
        <w:t xml:space="preserve"> ; (V) Агентство по регулированию деятельности финансовых институтов обладает юрисдикцией</w:t>
      </w:r>
      <w:r w:rsidR="008F2FEA">
        <w:t xml:space="preserve"> </w:t>
      </w:r>
      <w:r w:rsidRPr="00A05A57">
        <w:lastRenderedPageBreak/>
        <w:t xml:space="preserve">для обеспечения соблюдения некоторых Требований </w:t>
      </w:r>
      <w:r w:rsidR="00E16AE7">
        <w:t>NASDAQ</w:t>
      </w:r>
      <w:r w:rsidRPr="00A05A57">
        <w:t xml:space="preserve">; и (VI) </w:t>
      </w:r>
      <w:r w:rsidR="00E16AE7">
        <w:t>NASDAQ</w:t>
      </w:r>
      <w:r w:rsidR="008F2FEA">
        <w:t xml:space="preserve"> </w:t>
      </w:r>
      <w:r w:rsidRPr="00A05A57">
        <w:t>обязуется предлагать условия, которые не являются необоснованно</w:t>
      </w:r>
      <w:r w:rsidR="008F2FEA">
        <w:t xml:space="preserve"> </w:t>
      </w:r>
      <w:r w:rsidRPr="00A05A57">
        <w:t xml:space="preserve">дискриминационными между Клиентами, с учетом применимых Требований </w:t>
      </w:r>
      <w:r w:rsidR="00E16AE7">
        <w:t>NASDAQ</w:t>
      </w:r>
      <w:r w:rsidRPr="00A05A57">
        <w:t xml:space="preserve">. Соответственно, Клиент соглашается с тем, что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или использование Информации. </w:t>
      </w:r>
      <w:r w:rsidR="00E16AE7">
        <w:t>NASDAQ</w:t>
      </w:r>
      <w:r w:rsidRPr="00A05A57">
        <w:t xml:space="preserve"> должен предпринимать разумные усилия, чтобы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r w:rsidR="00E16AE7">
        <w:t>NASDAQ</w:t>
      </w:r>
      <w:r w:rsidR="008F2FEA">
        <w:t xml:space="preserve"> </w:t>
      </w:r>
      <w:r w:rsidRPr="00A05A57">
        <w:t>как необходимый, в соответствии с его юридическими обязательствами. Любое Лицо, получившее такое уведомление, должно иметь в своем распоряжении такие процессуальные средства защиты, которые предусмотрены законом и применимыми к нему правилами.</w:t>
      </w:r>
    </w:p>
    <w:p w:rsidR="00A05A57" w:rsidRPr="00A05A57" w:rsidRDefault="00A05A57" w:rsidP="004877E4">
      <w:pPr>
        <w:pStyle w:val="BD6"/>
      </w:pPr>
      <w:r w:rsidRPr="00A05A57">
        <w:t>(b)</w:t>
      </w:r>
      <w:r w:rsidRPr="00A05A57">
        <w:tab/>
        <w:t xml:space="preserve">Клиент признает, что в Европе </w:t>
      </w:r>
      <w:r w:rsidR="00E16AE7">
        <w:t>NASDAQ</w:t>
      </w:r>
      <w:r w:rsidRPr="00A05A57">
        <w:t xml:space="preserve"> обязан предлагать условия, которые не являются необоснованно дискриминационными между Клиентом, при условии соблюдения применимых Требований </w:t>
      </w:r>
      <w:r w:rsidR="00E16AE7">
        <w:t>NASDAQ</w:t>
      </w:r>
      <w:r w:rsidRPr="00A05A57">
        <w:t xml:space="preserve">.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 использование Информации. </w:t>
      </w:r>
      <w:r w:rsidR="00E16AE7">
        <w:t>NASDAQ</w:t>
      </w:r>
      <w:r w:rsidRPr="00A05A57">
        <w:t xml:space="preserve"> должен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r w:rsidR="00E16AE7">
        <w:t>NASDAQ</w:t>
      </w:r>
      <w:r w:rsidR="008F2FEA">
        <w:t xml:space="preserve"> </w:t>
      </w:r>
      <w:r w:rsidRPr="00A05A57">
        <w:t>как необходимый, в соответствии с его юридическими обязательствами. Если Клиент получает такое уведомление, он будет иметь в своем распоряжении все процессуальные средства защиты, предусмотренные для него законом и любыми применимыми нормативными правилами.</w:t>
      </w:r>
    </w:p>
    <w:p w:rsidR="00A05A57" w:rsidRPr="00A05A57" w:rsidRDefault="00A05A57" w:rsidP="004877E4">
      <w:pPr>
        <w:pStyle w:val="BD6"/>
      </w:pPr>
      <w:r w:rsidRPr="00A05A57">
        <w:t>(c)</w:t>
      </w:r>
      <w:r w:rsidRPr="00A05A57">
        <w:tab/>
        <w:t xml:space="preserve">Если Клиент является Членом Рынка </w:t>
      </w:r>
      <w:r w:rsidR="00E16AE7">
        <w:t>NASDAQ</w:t>
      </w:r>
      <w:r w:rsidRPr="00A05A57">
        <w:t xml:space="preserve">, то Клиент признает и выражает свое согласие со следующими положениями: (i) </w:t>
      </w:r>
      <w:r w:rsidR="00AA627E">
        <w:t xml:space="preserve">настоящие Условия </w:t>
      </w:r>
      <w:r w:rsidRPr="00A05A57">
        <w:t>не ограничива</w:t>
      </w:r>
      <w:r w:rsidR="00AA627E">
        <w:t>ю</w:t>
      </w:r>
      <w:r w:rsidRPr="00A05A57">
        <w:t>т и не уменьша</w:t>
      </w:r>
      <w:r w:rsidR="00AA627E">
        <w:t>ю</w:t>
      </w:r>
      <w:r w:rsidRPr="00A05A57">
        <w:t xml:space="preserve">т каким-либо образом обязательства и ответственность Клиента в качестве Члена любого применимого Рынка </w:t>
      </w:r>
      <w:r w:rsidR="00E16AE7">
        <w:t>NASDAQ</w:t>
      </w:r>
      <w:r w:rsidRPr="00A05A57">
        <w:t xml:space="preserve"> ; (</w:t>
      </w:r>
      <w:proofErr w:type="spellStart"/>
      <w:r w:rsidRPr="00A05A57">
        <w:t>ii</w:t>
      </w:r>
      <w:proofErr w:type="spellEnd"/>
      <w:r w:rsidRPr="00A05A57">
        <w:t>) настоящи</w:t>
      </w:r>
      <w:r w:rsidR="00AA627E">
        <w:t>е</w:t>
      </w:r>
      <w:r w:rsidRPr="00A05A57">
        <w:t xml:space="preserve"> </w:t>
      </w:r>
      <w:r w:rsidR="00AA627E">
        <w:t xml:space="preserve">Условия </w:t>
      </w:r>
      <w:r w:rsidRPr="00A05A57">
        <w:t>не изменя</w:t>
      </w:r>
      <w:r w:rsidR="00AA627E">
        <w:t>ю</w:t>
      </w:r>
      <w:r w:rsidRPr="00A05A57">
        <w:t xml:space="preserve">т каким-либо образом процедуры или стандарты, в целом, применимые к дисциплинарным или другим действиям, предпринимаемым </w:t>
      </w:r>
      <w:r w:rsidR="00E16AE7">
        <w:t>NASDAQ</w:t>
      </w:r>
      <w:r w:rsidRPr="00A05A57">
        <w:t xml:space="preserve"> для обеспечения соблюдения Требований </w:t>
      </w:r>
      <w:r w:rsidR="00E16AE7">
        <w:t>NASDAQ</w:t>
      </w:r>
      <w:r w:rsidRPr="00A05A57">
        <w:t xml:space="preserve"> или наложения санкций за их нарушение; и (</w:t>
      </w:r>
      <w:proofErr w:type="spellStart"/>
      <w:r w:rsidRPr="00A05A57">
        <w:t>iii</w:t>
      </w:r>
      <w:proofErr w:type="spellEnd"/>
      <w:r w:rsidRPr="00A05A57">
        <w:t>) невыплата сумм, причитающихся по настоящ</w:t>
      </w:r>
      <w:r w:rsidR="00AA627E">
        <w:t>и</w:t>
      </w:r>
      <w:r w:rsidRPr="00A05A57">
        <w:t xml:space="preserve">м </w:t>
      </w:r>
      <w:r w:rsidR="00AA627E">
        <w:t>Условиям</w:t>
      </w:r>
      <w:r w:rsidRPr="00A05A57">
        <w:t xml:space="preserve">, может привести к приостановке или отмене членства Клиента на Рынке </w:t>
      </w:r>
      <w:r w:rsidR="00E16AE7">
        <w:t>NASDAQ</w:t>
      </w:r>
      <w:r w:rsidRPr="00A05A57">
        <w:t xml:space="preserve"> в соответствии с применимыми Требованиями </w:t>
      </w:r>
      <w:r w:rsidR="00E16AE7">
        <w:t>NASDAQ</w:t>
      </w:r>
      <w:r w:rsidRPr="00A05A57">
        <w:t>.</w:t>
      </w:r>
    </w:p>
    <w:sectPr w:rsidR="00A05A57" w:rsidRPr="00A05A57" w:rsidSect="00401093">
      <w:headerReference w:type="default" r:id="rId7"/>
      <w:footerReference w:type="even" r:id="rId8"/>
      <w:footerReference w:type="default" r:id="rId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3AA" w:rsidRDefault="00BB73AA" w:rsidP="00132AC6">
      <w:pPr>
        <w:pStyle w:val="afd"/>
      </w:pPr>
      <w:r>
        <w:separator/>
      </w:r>
    </w:p>
  </w:endnote>
  <w:endnote w:type="continuationSeparator" w:id="0">
    <w:p w:rsidR="00BB73AA" w:rsidRDefault="00BB73AA" w:rsidP="00132AC6">
      <w:pPr>
        <w:pStyle w:val="af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F540B" w:rsidRDefault="004F540B" w:rsidP="006075E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p>
  <w:p w:rsidR="004F540B" w:rsidRDefault="004F540B" w:rsidP="006075E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3AA" w:rsidRDefault="00BB73AA" w:rsidP="00132AC6">
      <w:pPr>
        <w:pStyle w:val="afd"/>
      </w:pPr>
      <w:r>
        <w:separator/>
      </w:r>
    </w:p>
  </w:footnote>
  <w:footnote w:type="continuationSeparator" w:id="0">
    <w:p w:rsidR="00BB73AA" w:rsidRDefault="00BB73AA" w:rsidP="00132AC6">
      <w:pPr>
        <w:pStyle w:val="af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064099" w:rsidRPr="00064099" w:rsidTr="00C5376C">
      <w:tc>
        <w:tcPr>
          <w:tcW w:w="2518" w:type="dxa"/>
          <w:shd w:val="clear" w:color="auto" w:fill="auto"/>
        </w:tcPr>
        <w:p w:rsidR="00064099" w:rsidRPr="00064099" w:rsidRDefault="00472699" w:rsidP="00064099">
          <w:pPr>
            <w:tabs>
              <w:tab w:val="clear" w:pos="1134"/>
              <w:tab w:val="center" w:pos="4153"/>
              <w:tab w:val="right" w:pos="8306"/>
            </w:tabs>
            <w:rPr>
              <w:sz w:val="20"/>
              <w:szCs w:val="20"/>
              <w:lang w:eastAsia="ru-RU"/>
            </w:rPr>
          </w:pPr>
          <w:r w:rsidRPr="00064099">
            <w:rPr>
              <w:noProof/>
              <w:sz w:val="20"/>
              <w:szCs w:val="20"/>
              <w:lang w:eastAsia="ru-RU"/>
            </w:rPr>
            <w:drawing>
              <wp:inline distT="0" distB="0" distL="0" distR="0">
                <wp:extent cx="1082675" cy="25273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252730"/>
                        </a:xfrm>
                        <a:prstGeom prst="rect">
                          <a:avLst/>
                        </a:prstGeom>
                        <a:noFill/>
                        <a:ln>
                          <a:noFill/>
                        </a:ln>
                      </pic:spPr>
                    </pic:pic>
                  </a:graphicData>
                </a:graphic>
              </wp:inline>
            </w:drawing>
          </w:r>
        </w:p>
      </w:tc>
      <w:tc>
        <w:tcPr>
          <w:tcW w:w="7796" w:type="dxa"/>
          <w:shd w:val="clear" w:color="auto" w:fill="auto"/>
        </w:tcPr>
        <w:p w:rsidR="00064099" w:rsidRPr="00C03705" w:rsidRDefault="00064099" w:rsidP="00064099">
          <w:pPr>
            <w:tabs>
              <w:tab w:val="center" w:pos="4153"/>
              <w:tab w:val="right" w:pos="8306"/>
            </w:tabs>
            <w:autoSpaceDE w:val="0"/>
            <w:autoSpaceDN w:val="0"/>
            <w:jc w:val="right"/>
            <w:rPr>
              <w:rFonts w:ascii="Arial" w:eastAsia="Calibri" w:hAnsi="Arial" w:cs="Arial"/>
              <w:i/>
              <w:sz w:val="16"/>
              <w:szCs w:val="16"/>
              <w:lang w:eastAsia="ru-RU"/>
            </w:rPr>
          </w:pPr>
          <w:r w:rsidRPr="00C03705">
            <w:rPr>
              <w:rFonts w:ascii="Arial" w:eastAsia="Calibri" w:hAnsi="Arial" w:cs="Arial"/>
              <w:i/>
              <w:sz w:val="16"/>
              <w:szCs w:val="16"/>
              <w:lang w:eastAsia="ru-RU"/>
            </w:rPr>
            <w:t>Приложение №</w:t>
          </w:r>
          <w:r w:rsidR="00A05A57" w:rsidRPr="00A05A57">
            <w:rPr>
              <w:rFonts w:ascii="Arial" w:eastAsia="Calibri" w:hAnsi="Arial" w:cs="Arial"/>
              <w:i/>
              <w:sz w:val="16"/>
              <w:szCs w:val="16"/>
              <w:lang w:eastAsia="ru-RU"/>
            </w:rPr>
            <w:t>1</w:t>
          </w:r>
          <w:r w:rsidR="00386E84" w:rsidRPr="00386E84">
            <w:rPr>
              <w:rFonts w:ascii="Arial" w:eastAsia="Calibri" w:hAnsi="Arial" w:cs="Arial"/>
              <w:i/>
              <w:sz w:val="16"/>
              <w:szCs w:val="16"/>
              <w:lang w:eastAsia="ru-RU"/>
            </w:rPr>
            <w:t>6</w:t>
          </w:r>
          <w:r w:rsidRPr="00C03705">
            <w:rPr>
              <w:rFonts w:ascii="Arial" w:eastAsia="Calibri" w:hAnsi="Arial" w:cs="Arial"/>
              <w:i/>
              <w:sz w:val="16"/>
              <w:szCs w:val="16"/>
              <w:lang w:eastAsia="ru-RU"/>
            </w:rPr>
            <w:t xml:space="preserve"> к Регламенту обслуживания Клиентов ООО ИК «Фридом Финанс»</w:t>
          </w:r>
        </w:p>
        <w:p w:rsidR="00064099" w:rsidRPr="00C03705" w:rsidRDefault="00A05A57" w:rsidP="00064099">
          <w:pPr>
            <w:tabs>
              <w:tab w:val="center" w:pos="4153"/>
              <w:tab w:val="right" w:pos="8306"/>
            </w:tabs>
            <w:jc w:val="right"/>
            <w:rPr>
              <w:rFonts w:ascii="Arial" w:hAnsi="Arial" w:cs="Arial"/>
              <w:i/>
              <w:sz w:val="16"/>
              <w:szCs w:val="16"/>
              <w:lang w:eastAsia="ru-RU"/>
            </w:rPr>
          </w:pPr>
          <w:r w:rsidRPr="00A05A57">
            <w:rPr>
              <w:rFonts w:ascii="Arial" w:hAnsi="Arial" w:cs="Arial"/>
              <w:i/>
              <w:sz w:val="16"/>
              <w:szCs w:val="16"/>
              <w:lang w:eastAsia="ru-RU"/>
            </w:rPr>
            <w:t xml:space="preserve">Условия предоставления рыночной информации </w:t>
          </w:r>
          <w:r w:rsidR="00E16AE7">
            <w:rPr>
              <w:rFonts w:ascii="Arial" w:hAnsi="Arial" w:cs="Arial"/>
              <w:i/>
              <w:sz w:val="16"/>
              <w:szCs w:val="16"/>
              <w:lang w:eastAsia="ru-RU"/>
            </w:rPr>
            <w:t>NASDAQ</w:t>
          </w:r>
        </w:p>
      </w:tc>
    </w:tr>
  </w:tbl>
  <w:p w:rsidR="00064099" w:rsidRPr="00064099" w:rsidRDefault="00064099" w:rsidP="00064099">
    <w:pPr>
      <w:tabs>
        <w:tab w:val="center" w:pos="4153"/>
        <w:tab w:val="right" w:pos="8306"/>
      </w:tabs>
      <w:rPr>
        <w:snapToGrid w:val="0"/>
        <w:sz w:val="8"/>
        <w:szCs w:val="8"/>
        <w:lang w:eastAsia="ru-RU"/>
      </w:rPr>
    </w:pPr>
  </w:p>
  <w:p w:rsidR="004F540B" w:rsidRPr="00064099" w:rsidRDefault="004F540B" w:rsidP="0006409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0000040A"/>
    <w:multiLevelType w:val="multilevel"/>
    <w:tmpl w:val="448AB554"/>
    <w:lvl w:ilvl="0">
      <w:start w:val="1"/>
      <w:numFmt w:val="bullet"/>
      <w:pStyle w:val="BD"/>
      <w:lvlText w:val=""/>
      <w:lvlJc w:val="left"/>
      <w:pPr>
        <w:ind w:left="284" w:firstLine="142"/>
      </w:pPr>
      <w:rPr>
        <w:rFonts w:ascii="Symbol" w:hAnsi="Symbol" w:hint="default"/>
        <w:b w:val="0"/>
        <w:spacing w:val="-23"/>
        <w:w w:val="99"/>
        <w:sz w:val="24"/>
      </w:rPr>
    </w:lvl>
    <w:lvl w:ilvl="1">
      <w:numFmt w:val="bullet"/>
      <w:lvlText w:val="•"/>
      <w:lvlJc w:val="left"/>
      <w:pPr>
        <w:ind w:left="1318" w:hanging="159"/>
      </w:pPr>
      <w:rPr>
        <w:rFonts w:hint="default"/>
      </w:rPr>
    </w:lvl>
    <w:lvl w:ilvl="2">
      <w:numFmt w:val="bullet"/>
      <w:lvlText w:val="•"/>
      <w:lvlJc w:val="left"/>
      <w:pPr>
        <w:ind w:left="2337" w:hanging="159"/>
      </w:pPr>
      <w:rPr>
        <w:rFonts w:hint="default"/>
      </w:rPr>
    </w:lvl>
    <w:lvl w:ilvl="3">
      <w:numFmt w:val="bullet"/>
      <w:lvlText w:val="•"/>
      <w:lvlJc w:val="left"/>
      <w:pPr>
        <w:ind w:left="3355" w:hanging="159"/>
      </w:pPr>
      <w:rPr>
        <w:rFonts w:hint="default"/>
      </w:rPr>
    </w:lvl>
    <w:lvl w:ilvl="4">
      <w:numFmt w:val="bullet"/>
      <w:lvlText w:val="•"/>
      <w:lvlJc w:val="left"/>
      <w:pPr>
        <w:ind w:left="4374" w:hanging="159"/>
      </w:pPr>
      <w:rPr>
        <w:rFonts w:hint="default"/>
      </w:rPr>
    </w:lvl>
    <w:lvl w:ilvl="5">
      <w:numFmt w:val="bullet"/>
      <w:lvlText w:val="•"/>
      <w:lvlJc w:val="left"/>
      <w:pPr>
        <w:ind w:left="5393" w:hanging="159"/>
      </w:pPr>
      <w:rPr>
        <w:rFonts w:hint="default"/>
      </w:rPr>
    </w:lvl>
    <w:lvl w:ilvl="6">
      <w:numFmt w:val="bullet"/>
      <w:lvlText w:val="•"/>
      <w:lvlJc w:val="left"/>
      <w:pPr>
        <w:ind w:left="6411" w:hanging="159"/>
      </w:pPr>
      <w:rPr>
        <w:rFonts w:hint="default"/>
      </w:rPr>
    </w:lvl>
    <w:lvl w:ilvl="7">
      <w:numFmt w:val="bullet"/>
      <w:lvlText w:val="•"/>
      <w:lvlJc w:val="left"/>
      <w:pPr>
        <w:ind w:left="7430" w:hanging="159"/>
      </w:pPr>
      <w:rPr>
        <w:rFonts w:hint="default"/>
      </w:rPr>
    </w:lvl>
    <w:lvl w:ilvl="8">
      <w:numFmt w:val="bullet"/>
      <w:lvlText w:val="•"/>
      <w:lvlJc w:val="left"/>
      <w:pPr>
        <w:ind w:left="8449" w:hanging="159"/>
      </w:pPr>
      <w:rPr>
        <w:rFonts w:hint="default"/>
      </w:rPr>
    </w:lvl>
  </w:abstractNum>
  <w:abstractNum w:abstractNumId="3" w15:restartNumberingAfterBreak="0">
    <w:nsid w:val="272F6E19"/>
    <w:multiLevelType w:val="multilevel"/>
    <w:tmpl w:val="84BA6348"/>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2726CF"/>
    <w:multiLevelType w:val="multilevel"/>
    <w:tmpl w:val="C3A29DD6"/>
    <w:lvl w:ilvl="0">
      <w:start w:val="1"/>
      <w:numFmt w:val="decimal"/>
      <w:pStyle w:val="BD1"/>
      <w:lvlText w:val="Статья %1."/>
      <w:lvlJc w:val="left"/>
      <w:pPr>
        <w:ind w:left="720" w:hanging="360"/>
      </w:pPr>
      <w:rPr>
        <w:rFonts w:hint="default"/>
      </w:rPr>
    </w:lvl>
    <w:lvl w:ilvl="1">
      <w:start w:val="1"/>
      <w:numFmt w:val="decimal"/>
      <w:pStyle w:val="BD11"/>
      <w:isLgl/>
      <w:lvlText w:val="%1.%2."/>
      <w:lvlJc w:val="left"/>
      <w:pPr>
        <w:ind w:left="1080" w:hanging="72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D123"/>
      <w:isLgl/>
      <w:lvlText w:val="%1.%2.%3."/>
      <w:lvlJc w:val="left"/>
      <w:pPr>
        <w:ind w:left="862"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B2F772E"/>
    <w:multiLevelType w:val="singleLevel"/>
    <w:tmpl w:val="18105CEA"/>
    <w:lvl w:ilvl="0">
      <w:start w:val="1"/>
      <w:numFmt w:val="bullet"/>
      <w:lvlText w:val=""/>
      <w:lvlJc w:val="left"/>
      <w:pPr>
        <w:tabs>
          <w:tab w:val="num" w:pos="720"/>
        </w:tabs>
        <w:ind w:left="720" w:hanging="720"/>
      </w:pPr>
      <w:rPr>
        <w:rFonts w:ascii="Symbol" w:hAnsi="Symbol" w:hint="default"/>
      </w:rPr>
    </w:lvl>
  </w:abstractNum>
  <w:abstractNum w:abstractNumId="6"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1A76D97"/>
    <w:multiLevelType w:val="multilevel"/>
    <w:tmpl w:val="130270FC"/>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rPr>
    </w:lvl>
    <w:lvl w:ilvl="2">
      <w:start w:val="1"/>
      <w:numFmt w:val="decimal"/>
      <w:lvlText w:val="%1.%2.%3"/>
      <w:lvlJc w:val="left"/>
      <w:pPr>
        <w:tabs>
          <w:tab w:val="num" w:pos="720"/>
        </w:tabs>
        <w:ind w:left="0" w:firstLine="0"/>
      </w:pPr>
      <w:rPr>
        <w:rFonts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
  </w:num>
  <w:num w:numId="3">
    <w:abstractNumId w:val="6"/>
  </w:num>
  <w:num w:numId="4">
    <w:abstractNumId w:val="5"/>
  </w:num>
  <w:num w:numId="5">
    <w:abstractNumId w:val="0"/>
  </w:num>
  <w:num w:numId="6">
    <w:abstractNumId w:val="3"/>
  </w:num>
  <w:num w:numId="7">
    <w:abstractNumId w:val="7"/>
  </w:num>
  <w:num w:numId="8">
    <w:abstractNumId w:val="4"/>
  </w:num>
  <w:num w:numId="9">
    <w:abstractNumId w:val="4"/>
  </w:num>
  <w:num w:numId="10">
    <w:abstractNumId w:val="4"/>
  </w:num>
  <w:num w:numId="11">
    <w:abstractNumId w:val="2"/>
  </w:num>
  <w:num w:numId="12">
    <w:abstractNumId w:val="2"/>
  </w:num>
  <w:num w:numId="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184D"/>
    <w:rsid w:val="00003D9D"/>
    <w:rsid w:val="00022995"/>
    <w:rsid w:val="000431D1"/>
    <w:rsid w:val="00064099"/>
    <w:rsid w:val="000654BC"/>
    <w:rsid w:val="0008398F"/>
    <w:rsid w:val="000A2E3A"/>
    <w:rsid w:val="000B1950"/>
    <w:rsid w:val="000C2046"/>
    <w:rsid w:val="000C5810"/>
    <w:rsid w:val="000E76E2"/>
    <w:rsid w:val="000F6569"/>
    <w:rsid w:val="00103E4E"/>
    <w:rsid w:val="0010597D"/>
    <w:rsid w:val="00113B50"/>
    <w:rsid w:val="00132AC6"/>
    <w:rsid w:val="00151CE2"/>
    <w:rsid w:val="001557ED"/>
    <w:rsid w:val="00161F8D"/>
    <w:rsid w:val="00161FF5"/>
    <w:rsid w:val="00183DF1"/>
    <w:rsid w:val="00190CDC"/>
    <w:rsid w:val="00196FAA"/>
    <w:rsid w:val="001A0463"/>
    <w:rsid w:val="001A2BA6"/>
    <w:rsid w:val="001A36ED"/>
    <w:rsid w:val="001B77C9"/>
    <w:rsid w:val="001C0BF8"/>
    <w:rsid w:val="00205ABD"/>
    <w:rsid w:val="0022735A"/>
    <w:rsid w:val="002337E6"/>
    <w:rsid w:val="00240491"/>
    <w:rsid w:val="00247929"/>
    <w:rsid w:val="00253994"/>
    <w:rsid w:val="00262091"/>
    <w:rsid w:val="00264BA8"/>
    <w:rsid w:val="002835D2"/>
    <w:rsid w:val="002862F5"/>
    <w:rsid w:val="00293B99"/>
    <w:rsid w:val="00295429"/>
    <w:rsid w:val="00297C49"/>
    <w:rsid w:val="00297DDB"/>
    <w:rsid w:val="002B70EE"/>
    <w:rsid w:val="002C0A39"/>
    <w:rsid w:val="002C7F50"/>
    <w:rsid w:val="002D342D"/>
    <w:rsid w:val="002D3C8C"/>
    <w:rsid w:val="002D57DF"/>
    <w:rsid w:val="002E00F8"/>
    <w:rsid w:val="002F0A85"/>
    <w:rsid w:val="00300067"/>
    <w:rsid w:val="003016F5"/>
    <w:rsid w:val="00301D9B"/>
    <w:rsid w:val="00302F7C"/>
    <w:rsid w:val="0031484F"/>
    <w:rsid w:val="0032050A"/>
    <w:rsid w:val="0032188B"/>
    <w:rsid w:val="0032240F"/>
    <w:rsid w:val="003250E4"/>
    <w:rsid w:val="00350357"/>
    <w:rsid w:val="00366117"/>
    <w:rsid w:val="00370E72"/>
    <w:rsid w:val="00375096"/>
    <w:rsid w:val="00386E84"/>
    <w:rsid w:val="003A76F9"/>
    <w:rsid w:val="003B41ED"/>
    <w:rsid w:val="003B5265"/>
    <w:rsid w:val="003D0790"/>
    <w:rsid w:val="003D145B"/>
    <w:rsid w:val="003F305F"/>
    <w:rsid w:val="00401093"/>
    <w:rsid w:val="00411548"/>
    <w:rsid w:val="004177D0"/>
    <w:rsid w:val="00417E16"/>
    <w:rsid w:val="00424509"/>
    <w:rsid w:val="0043167E"/>
    <w:rsid w:val="00434883"/>
    <w:rsid w:val="0043587D"/>
    <w:rsid w:val="00445007"/>
    <w:rsid w:val="00462FE0"/>
    <w:rsid w:val="00465171"/>
    <w:rsid w:val="00472699"/>
    <w:rsid w:val="00473684"/>
    <w:rsid w:val="0047555B"/>
    <w:rsid w:val="00483ABC"/>
    <w:rsid w:val="004877E4"/>
    <w:rsid w:val="004A41D5"/>
    <w:rsid w:val="004A5084"/>
    <w:rsid w:val="004A6EF3"/>
    <w:rsid w:val="004B596A"/>
    <w:rsid w:val="004C5C51"/>
    <w:rsid w:val="004D4B9D"/>
    <w:rsid w:val="004D4CB6"/>
    <w:rsid w:val="004D5E89"/>
    <w:rsid w:val="004E694B"/>
    <w:rsid w:val="004F2BC6"/>
    <w:rsid w:val="004F4886"/>
    <w:rsid w:val="004F540B"/>
    <w:rsid w:val="004F6DEB"/>
    <w:rsid w:val="00503930"/>
    <w:rsid w:val="005066EC"/>
    <w:rsid w:val="0051656F"/>
    <w:rsid w:val="005167DB"/>
    <w:rsid w:val="0053788D"/>
    <w:rsid w:val="005609FB"/>
    <w:rsid w:val="00566A2A"/>
    <w:rsid w:val="00573C76"/>
    <w:rsid w:val="00573D55"/>
    <w:rsid w:val="00580FF1"/>
    <w:rsid w:val="00583058"/>
    <w:rsid w:val="005C2AED"/>
    <w:rsid w:val="005D2D28"/>
    <w:rsid w:val="005E139F"/>
    <w:rsid w:val="005E69CF"/>
    <w:rsid w:val="005F5C39"/>
    <w:rsid w:val="0060098E"/>
    <w:rsid w:val="006075E3"/>
    <w:rsid w:val="00611546"/>
    <w:rsid w:val="006176EB"/>
    <w:rsid w:val="00620FBD"/>
    <w:rsid w:val="006339BD"/>
    <w:rsid w:val="00633C58"/>
    <w:rsid w:val="006420FD"/>
    <w:rsid w:val="00656B4E"/>
    <w:rsid w:val="00664F55"/>
    <w:rsid w:val="00693337"/>
    <w:rsid w:val="006A2206"/>
    <w:rsid w:val="006A78DD"/>
    <w:rsid w:val="006C6294"/>
    <w:rsid w:val="006E2ECB"/>
    <w:rsid w:val="007000A2"/>
    <w:rsid w:val="0070018D"/>
    <w:rsid w:val="00711590"/>
    <w:rsid w:val="00712C74"/>
    <w:rsid w:val="00715F2E"/>
    <w:rsid w:val="00722831"/>
    <w:rsid w:val="00742DEA"/>
    <w:rsid w:val="00754980"/>
    <w:rsid w:val="007562C9"/>
    <w:rsid w:val="007710E6"/>
    <w:rsid w:val="007946F6"/>
    <w:rsid w:val="007A02F6"/>
    <w:rsid w:val="007B0FB7"/>
    <w:rsid w:val="007B3A10"/>
    <w:rsid w:val="007B3E14"/>
    <w:rsid w:val="007D71C8"/>
    <w:rsid w:val="007F30CD"/>
    <w:rsid w:val="007F3BAA"/>
    <w:rsid w:val="007F6873"/>
    <w:rsid w:val="00800B3C"/>
    <w:rsid w:val="00802730"/>
    <w:rsid w:val="008161D5"/>
    <w:rsid w:val="00832ACF"/>
    <w:rsid w:val="008756B2"/>
    <w:rsid w:val="0089718F"/>
    <w:rsid w:val="008A09BD"/>
    <w:rsid w:val="008A4AA9"/>
    <w:rsid w:val="008A4FC4"/>
    <w:rsid w:val="008C19E1"/>
    <w:rsid w:val="008D41B0"/>
    <w:rsid w:val="008E2402"/>
    <w:rsid w:val="008E5B3F"/>
    <w:rsid w:val="008F061E"/>
    <w:rsid w:val="008F2FEA"/>
    <w:rsid w:val="00907EC2"/>
    <w:rsid w:val="00930163"/>
    <w:rsid w:val="00930DF5"/>
    <w:rsid w:val="009638B1"/>
    <w:rsid w:val="009651AD"/>
    <w:rsid w:val="009705D7"/>
    <w:rsid w:val="00971D3E"/>
    <w:rsid w:val="0099373F"/>
    <w:rsid w:val="009A43E7"/>
    <w:rsid w:val="009A78F7"/>
    <w:rsid w:val="009B5496"/>
    <w:rsid w:val="009C0869"/>
    <w:rsid w:val="009C3811"/>
    <w:rsid w:val="009D7978"/>
    <w:rsid w:val="009E0E8C"/>
    <w:rsid w:val="00A002C2"/>
    <w:rsid w:val="00A05A57"/>
    <w:rsid w:val="00A1452B"/>
    <w:rsid w:val="00A20E44"/>
    <w:rsid w:val="00A33C9A"/>
    <w:rsid w:val="00A42812"/>
    <w:rsid w:val="00A51BFD"/>
    <w:rsid w:val="00A53F93"/>
    <w:rsid w:val="00A62B86"/>
    <w:rsid w:val="00A85099"/>
    <w:rsid w:val="00AA627E"/>
    <w:rsid w:val="00AB3D74"/>
    <w:rsid w:val="00AC0CE0"/>
    <w:rsid w:val="00AC0EF8"/>
    <w:rsid w:val="00AC3479"/>
    <w:rsid w:val="00AC376E"/>
    <w:rsid w:val="00AD4946"/>
    <w:rsid w:val="00AD5C6C"/>
    <w:rsid w:val="00AD6C6F"/>
    <w:rsid w:val="00AE31AF"/>
    <w:rsid w:val="00B0766E"/>
    <w:rsid w:val="00B16AC3"/>
    <w:rsid w:val="00B23BCD"/>
    <w:rsid w:val="00B42889"/>
    <w:rsid w:val="00B42A5E"/>
    <w:rsid w:val="00B509A1"/>
    <w:rsid w:val="00B62DA1"/>
    <w:rsid w:val="00B72C37"/>
    <w:rsid w:val="00B75828"/>
    <w:rsid w:val="00B7713E"/>
    <w:rsid w:val="00B82A06"/>
    <w:rsid w:val="00BB73AA"/>
    <w:rsid w:val="00BC648A"/>
    <w:rsid w:val="00BD38A7"/>
    <w:rsid w:val="00BE221A"/>
    <w:rsid w:val="00BE26F2"/>
    <w:rsid w:val="00BF70EC"/>
    <w:rsid w:val="00C03705"/>
    <w:rsid w:val="00C052CD"/>
    <w:rsid w:val="00C10FEA"/>
    <w:rsid w:val="00C27AB2"/>
    <w:rsid w:val="00C42309"/>
    <w:rsid w:val="00C4255E"/>
    <w:rsid w:val="00C4652C"/>
    <w:rsid w:val="00C5376C"/>
    <w:rsid w:val="00C7220C"/>
    <w:rsid w:val="00C76090"/>
    <w:rsid w:val="00C831B1"/>
    <w:rsid w:val="00CA1A37"/>
    <w:rsid w:val="00CA2975"/>
    <w:rsid w:val="00CA3DE0"/>
    <w:rsid w:val="00CA4193"/>
    <w:rsid w:val="00CA5A35"/>
    <w:rsid w:val="00CB01A1"/>
    <w:rsid w:val="00CB491B"/>
    <w:rsid w:val="00CC74C4"/>
    <w:rsid w:val="00CC7741"/>
    <w:rsid w:val="00CD4648"/>
    <w:rsid w:val="00CE3319"/>
    <w:rsid w:val="00CE45EC"/>
    <w:rsid w:val="00CE59C4"/>
    <w:rsid w:val="00D0364A"/>
    <w:rsid w:val="00D10050"/>
    <w:rsid w:val="00D242F5"/>
    <w:rsid w:val="00D31236"/>
    <w:rsid w:val="00D47126"/>
    <w:rsid w:val="00D547BB"/>
    <w:rsid w:val="00D619B9"/>
    <w:rsid w:val="00D806DB"/>
    <w:rsid w:val="00D81BDE"/>
    <w:rsid w:val="00D9403C"/>
    <w:rsid w:val="00DA29C6"/>
    <w:rsid w:val="00DB01F2"/>
    <w:rsid w:val="00DB13C7"/>
    <w:rsid w:val="00DB76FD"/>
    <w:rsid w:val="00DB7917"/>
    <w:rsid w:val="00DE4CBC"/>
    <w:rsid w:val="00DF407F"/>
    <w:rsid w:val="00DF457B"/>
    <w:rsid w:val="00DF65DA"/>
    <w:rsid w:val="00E0130B"/>
    <w:rsid w:val="00E03793"/>
    <w:rsid w:val="00E16AE7"/>
    <w:rsid w:val="00E22E7C"/>
    <w:rsid w:val="00E24890"/>
    <w:rsid w:val="00E33D0E"/>
    <w:rsid w:val="00E35C19"/>
    <w:rsid w:val="00E411AA"/>
    <w:rsid w:val="00E42C7A"/>
    <w:rsid w:val="00E51CB4"/>
    <w:rsid w:val="00E55EE1"/>
    <w:rsid w:val="00E75FBB"/>
    <w:rsid w:val="00E76AD7"/>
    <w:rsid w:val="00E7744A"/>
    <w:rsid w:val="00E77C0E"/>
    <w:rsid w:val="00E918F6"/>
    <w:rsid w:val="00EA1A7D"/>
    <w:rsid w:val="00EA46FB"/>
    <w:rsid w:val="00EB6BC6"/>
    <w:rsid w:val="00EC50A9"/>
    <w:rsid w:val="00ED07A6"/>
    <w:rsid w:val="00F0439C"/>
    <w:rsid w:val="00F140A1"/>
    <w:rsid w:val="00F1641C"/>
    <w:rsid w:val="00F20819"/>
    <w:rsid w:val="00F2590D"/>
    <w:rsid w:val="00F26E9E"/>
    <w:rsid w:val="00F47A38"/>
    <w:rsid w:val="00F52162"/>
    <w:rsid w:val="00F53AB4"/>
    <w:rsid w:val="00F543AF"/>
    <w:rsid w:val="00F640A8"/>
    <w:rsid w:val="00FA296D"/>
    <w:rsid w:val="00FB1E12"/>
    <w:rsid w:val="00FB4A8B"/>
    <w:rsid w:val="00FC1C74"/>
    <w:rsid w:val="00FC5409"/>
    <w:rsid w:val="00FE0241"/>
    <w:rsid w:val="00FE548B"/>
    <w:rsid w:val="00FE66E2"/>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4839B536-CE3D-4294-877A-A9EEB01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CA5A35"/>
    <w:pPr>
      <w:tabs>
        <w:tab w:val="left" w:pos="1134"/>
      </w:tabs>
    </w:pPr>
    <w:rPr>
      <w:sz w:val="24"/>
      <w:szCs w:val="24"/>
      <w:lang w:eastAsia="en-US"/>
    </w:rPr>
  </w:style>
  <w:style w:type="paragraph" w:styleId="1">
    <w:name w:val="heading 1"/>
    <w:basedOn w:val="a"/>
    <w:next w:val="a"/>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
    <w:next w:val="a"/>
    <w:link w:val="20"/>
    <w:rsid w:val="00CA5A35"/>
    <w:pPr>
      <w:keepNext/>
      <w:numPr>
        <w:numId w:val="1"/>
      </w:numPr>
      <w:spacing w:before="240"/>
      <w:jc w:val="both"/>
      <w:outlineLvl w:val="1"/>
    </w:pPr>
    <w:rPr>
      <w:b/>
      <w:caps/>
      <w:snapToGrid w:val="0"/>
      <w:lang w:val="x-none"/>
    </w:rPr>
  </w:style>
  <w:style w:type="paragraph" w:styleId="3">
    <w:name w:val="heading 3"/>
    <w:basedOn w:val="a"/>
    <w:next w:val="a"/>
    <w:rsid w:val="00CA5A35"/>
    <w:pPr>
      <w:keepNext/>
      <w:spacing w:after="120"/>
      <w:outlineLvl w:val="2"/>
    </w:pPr>
    <w:rPr>
      <w:b/>
      <w:snapToGrid w:val="0"/>
    </w:rPr>
  </w:style>
  <w:style w:type="paragraph" w:styleId="4">
    <w:name w:val="heading 4"/>
    <w:basedOn w:val="a"/>
    <w:next w:val="a"/>
    <w:rsid w:val="00CA5A35"/>
    <w:pPr>
      <w:keepNext/>
      <w:numPr>
        <w:numId w:val="2"/>
      </w:numPr>
      <w:tabs>
        <w:tab w:val="clear" w:pos="643"/>
      </w:tabs>
      <w:ind w:left="0" w:firstLine="0"/>
      <w:jc w:val="both"/>
      <w:outlineLvl w:val="3"/>
    </w:pPr>
    <w:rPr>
      <w:b/>
      <w:bCs/>
    </w:rPr>
  </w:style>
  <w:style w:type="paragraph" w:styleId="5">
    <w:name w:val="heading 5"/>
    <w:basedOn w:val="a"/>
    <w:next w:val="a"/>
    <w:rsid w:val="00CA5A35"/>
    <w:pPr>
      <w:keepNext/>
      <w:numPr>
        <w:numId w:val="5"/>
      </w:numPr>
      <w:tabs>
        <w:tab w:val="clear" w:pos="926"/>
      </w:tabs>
      <w:ind w:left="0" w:firstLine="0"/>
      <w:outlineLvl w:val="4"/>
    </w:pPr>
  </w:style>
  <w:style w:type="paragraph" w:styleId="6">
    <w:name w:val="heading 6"/>
    <w:basedOn w:val="a"/>
    <w:next w:val="a"/>
    <w:rsid w:val="00CA5A35"/>
    <w:pPr>
      <w:keepNext/>
      <w:jc w:val="center"/>
      <w:outlineLvl w:val="5"/>
    </w:pPr>
  </w:style>
  <w:style w:type="paragraph" w:styleId="7">
    <w:name w:val="heading 7"/>
    <w:basedOn w:val="a"/>
    <w:next w:val="a"/>
    <w:rsid w:val="00CA5A35"/>
    <w:pPr>
      <w:keepNext/>
      <w:spacing w:line="216" w:lineRule="auto"/>
      <w:jc w:val="center"/>
      <w:outlineLvl w:val="6"/>
    </w:pPr>
    <w:rPr>
      <w:b/>
      <w:sz w:val="18"/>
    </w:rPr>
  </w:style>
  <w:style w:type="paragraph" w:styleId="8">
    <w:name w:val="heading 8"/>
    <w:basedOn w:val="a"/>
    <w:next w:val="a"/>
    <w:rsid w:val="00CA5A35"/>
    <w:pPr>
      <w:spacing w:before="240" w:after="60"/>
      <w:outlineLvl w:val="7"/>
    </w:pPr>
    <w:rPr>
      <w:rFonts w:ascii="Arial" w:hAnsi="Arial"/>
      <w:i/>
      <w:sz w:val="20"/>
      <w:szCs w:val="20"/>
    </w:rPr>
  </w:style>
  <w:style w:type="paragraph" w:styleId="9">
    <w:name w:val="heading 9"/>
    <w:basedOn w:val="a"/>
    <w:next w:val="a"/>
    <w:rsid w:val="00CA5A35"/>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
    <w:autoRedefine/>
    <w:rsid w:val="00CA5A35"/>
    <w:pPr>
      <w:tabs>
        <w:tab w:val="num" w:pos="643"/>
      </w:tabs>
      <w:ind w:left="643" w:hanging="360"/>
    </w:pPr>
    <w:rPr>
      <w:rFonts w:ascii="Arial" w:hAnsi="Arial"/>
      <w:sz w:val="20"/>
      <w:szCs w:val="20"/>
    </w:rPr>
  </w:style>
  <w:style w:type="paragraph" w:styleId="a3">
    <w:name w:val="Body Text"/>
    <w:basedOn w:val="a"/>
    <w:link w:val="a4"/>
    <w:rsid w:val="00CA5A35"/>
    <w:pPr>
      <w:jc w:val="both"/>
    </w:pPr>
    <w:rPr>
      <w:rFonts w:ascii="Arial" w:hAnsi="Arial"/>
      <w:snapToGrid w:val="0"/>
      <w:lang w:val="x-none" w:eastAsia="x-none"/>
    </w:rPr>
  </w:style>
  <w:style w:type="paragraph" w:styleId="a5">
    <w:name w:val="Body Text First Indent"/>
    <w:basedOn w:val="a3"/>
    <w:link w:val="a6"/>
    <w:rsid w:val="00CA5A35"/>
    <w:pPr>
      <w:overflowPunct w:val="0"/>
      <w:autoSpaceDE w:val="0"/>
      <w:autoSpaceDN w:val="0"/>
      <w:adjustRightInd w:val="0"/>
      <w:spacing w:after="120"/>
      <w:ind w:firstLine="210"/>
      <w:textAlignment w:val="baseline"/>
    </w:pPr>
    <w:rPr>
      <w:lang w:eastAsia="en-US"/>
    </w:rPr>
  </w:style>
  <w:style w:type="character" w:customStyle="1" w:styleId="a6">
    <w:name w:val="Красная строка Знак"/>
    <w:link w:val="a5"/>
    <w:rsid w:val="00CA5A35"/>
    <w:rPr>
      <w:rFonts w:ascii="Arial" w:hAnsi="Arial"/>
      <w:snapToGrid w:val="0"/>
      <w:sz w:val="24"/>
      <w:szCs w:val="24"/>
      <w:lang w:eastAsia="en-US"/>
    </w:rPr>
  </w:style>
  <w:style w:type="paragraph" w:styleId="a7">
    <w:name w:val="Body Text Indent"/>
    <w:basedOn w:val="a"/>
    <w:rsid w:val="00CA5A35"/>
    <w:pPr>
      <w:tabs>
        <w:tab w:val="left" w:pos="564"/>
      </w:tabs>
      <w:jc w:val="both"/>
    </w:pPr>
    <w:rPr>
      <w:i/>
      <w:snapToGrid w:val="0"/>
      <w:sz w:val="20"/>
    </w:rPr>
  </w:style>
  <w:style w:type="paragraph" w:styleId="30">
    <w:name w:val="Body Text Indent 3"/>
    <w:basedOn w:val="a"/>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2"/>
    <w:rsid w:val="00CA5A35"/>
    <w:pPr>
      <w:numPr>
        <w:numId w:val="3"/>
      </w:numPr>
    </w:pPr>
  </w:style>
  <w:style w:type="paragraph" w:styleId="a8">
    <w:name w:val="Balloon Text"/>
    <w:basedOn w:val="a"/>
    <w:semiHidden/>
    <w:rsid w:val="00CA5A35"/>
    <w:rPr>
      <w:rFonts w:ascii="Tahoma" w:hAnsi="Tahoma" w:cs="Tahoma"/>
      <w:sz w:val="16"/>
      <w:szCs w:val="16"/>
    </w:rPr>
  </w:style>
  <w:style w:type="paragraph" w:styleId="a9">
    <w:name w:val="header"/>
    <w:basedOn w:val="a"/>
    <w:link w:val="aa"/>
    <w:rsid w:val="00CA5A35"/>
    <w:pPr>
      <w:tabs>
        <w:tab w:val="center" w:pos="4153"/>
        <w:tab w:val="right" w:pos="8306"/>
      </w:tabs>
    </w:pPr>
    <w:rPr>
      <w:snapToGrid w:val="0"/>
      <w:sz w:val="20"/>
      <w:szCs w:val="20"/>
      <w:lang w:val="x-none" w:eastAsia="x-none"/>
    </w:rPr>
  </w:style>
  <w:style w:type="paragraph" w:styleId="ab">
    <w:name w:val="footer"/>
    <w:basedOn w:val="a"/>
    <w:rsid w:val="00CA5A35"/>
    <w:pPr>
      <w:tabs>
        <w:tab w:val="center" w:pos="4153"/>
        <w:tab w:val="right" w:pos="8306"/>
      </w:tabs>
    </w:pPr>
    <w:rPr>
      <w:snapToGrid w:val="0"/>
      <w:sz w:val="20"/>
      <w:szCs w:val="20"/>
      <w:lang w:eastAsia="ru-RU"/>
    </w:rPr>
  </w:style>
  <w:style w:type="table" w:styleId="ac">
    <w:name w:val="Table Grid"/>
    <w:basedOn w:val="a1"/>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0">
    <w:name w:val="BD 1."/>
    <w:basedOn w:val="2Georgia"/>
    <w:rsid w:val="00CA5A35"/>
    <w:pPr>
      <w:tabs>
        <w:tab w:val="left" w:pos="1620"/>
      </w:tabs>
      <w:spacing w:line="360" w:lineRule="auto"/>
      <w:jc w:val="left"/>
    </w:pPr>
    <w:rPr>
      <w:bCs/>
      <w:szCs w:val="20"/>
    </w:rPr>
  </w:style>
  <w:style w:type="paragraph" w:customStyle="1" w:styleId="BD1230">
    <w:name w:val="BD_1.2.3."/>
    <w:basedOn w:val="a"/>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
    <w:link w:val="BD121"/>
    <w:rsid w:val="00CA5A35"/>
    <w:pPr>
      <w:spacing w:before="120" w:line="360" w:lineRule="auto"/>
      <w:jc w:val="both"/>
    </w:pPr>
    <w:rPr>
      <w:rFonts w:ascii="Georgia" w:hAnsi="Georgia"/>
      <w:lang w:val="x-none"/>
    </w:rPr>
  </w:style>
  <w:style w:type="paragraph" w:customStyle="1" w:styleId="BD12340">
    <w:name w:val="BD_1.2.3.4."/>
    <w:basedOn w:val="a5"/>
    <w:rsid w:val="00CA5A35"/>
    <w:pPr>
      <w:spacing w:before="120" w:after="0" w:line="360" w:lineRule="auto"/>
      <w:ind w:firstLine="0"/>
    </w:pPr>
    <w:rPr>
      <w:rFonts w:ascii="Georgia" w:hAnsi="Georgia"/>
    </w:rPr>
  </w:style>
  <w:style w:type="paragraph" w:customStyle="1" w:styleId="BD0">
    <w:name w:val="BD_основной текст"/>
    <w:basedOn w:val="a"/>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
    <w:link w:val="BD122"/>
    <w:rsid w:val="00CA5A35"/>
    <w:pPr>
      <w:numPr>
        <w:ilvl w:val="1"/>
        <w:numId w:val="1"/>
      </w:numPr>
      <w:spacing w:before="120" w:line="360" w:lineRule="auto"/>
      <w:jc w:val="both"/>
    </w:pPr>
    <w:rPr>
      <w:rFonts w:ascii="Georgia" w:hAnsi="Georgia"/>
      <w:lang w:val="x-none"/>
    </w:rPr>
  </w:style>
  <w:style w:type="paragraph" w:customStyle="1" w:styleId="BDSpisok">
    <w:name w:val="BD_Spisok"/>
    <w:basedOn w:val="a"/>
    <w:rsid w:val="00CA5A35"/>
    <w:pPr>
      <w:tabs>
        <w:tab w:val="num" w:pos="-131"/>
      </w:tabs>
      <w:ind w:left="-851"/>
    </w:pPr>
  </w:style>
  <w:style w:type="paragraph" w:customStyle="1" w:styleId="BD">
    <w:name w:val="BD_Маркер"/>
    <w:basedOn w:val="a"/>
    <w:link w:val="BD2"/>
    <w:rsid w:val="004877E4"/>
    <w:pPr>
      <w:numPr>
        <w:numId w:val="12"/>
      </w:numPr>
      <w:tabs>
        <w:tab w:val="clear" w:pos="1134"/>
      </w:tabs>
      <w:spacing w:before="120" w:line="360" w:lineRule="auto"/>
      <w:jc w:val="both"/>
    </w:pPr>
    <w:rPr>
      <w:rFonts w:ascii="Georgia" w:eastAsia="Calibri" w:hAnsi="Georgia"/>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d">
    <w:name w:val="page number"/>
    <w:basedOn w:val="a0"/>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5"/>
    <w:rsid w:val="00CA5A35"/>
    <w:pPr>
      <w:numPr>
        <w:ilvl w:val="3"/>
        <w:numId w:val="1"/>
      </w:numPr>
      <w:tabs>
        <w:tab w:val="clear" w:pos="2880"/>
      </w:tabs>
      <w:spacing w:before="120" w:after="0" w:line="360" w:lineRule="auto"/>
      <w:ind w:left="0" w:firstLine="0"/>
    </w:pPr>
    <w:rPr>
      <w:rFonts w:ascii="Georgia" w:hAnsi="Georgia"/>
    </w:rPr>
  </w:style>
  <w:style w:type="paragraph" w:customStyle="1" w:styleId="BD3">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a"/>
    <w:link w:val="BD1233"/>
    <w:qFormat/>
    <w:rsid w:val="004877E4"/>
    <w:pPr>
      <w:numPr>
        <w:ilvl w:val="2"/>
        <w:numId w:val="13"/>
      </w:numPr>
      <w:tabs>
        <w:tab w:val="clear" w:pos="1134"/>
      </w:tabs>
      <w:jc w:val="both"/>
    </w:pPr>
    <w:rPr>
      <w:rFonts w:ascii="Arial" w:eastAsia="Calibri" w:hAnsi="Arial" w:cs="Arial"/>
      <w:sz w:val="22"/>
      <w:szCs w:val="22"/>
    </w:rPr>
  </w:style>
  <w:style w:type="paragraph" w:customStyle="1" w:styleId="ae">
    <w:name w:val="Название"/>
    <w:basedOn w:val="a"/>
    <w:rsid w:val="00CA5A35"/>
    <w:pPr>
      <w:spacing w:before="240" w:after="60"/>
      <w:jc w:val="center"/>
      <w:outlineLvl w:val="0"/>
    </w:pPr>
    <w:rPr>
      <w:rFonts w:ascii="Arial" w:hAnsi="Arial" w:cs="Arial"/>
      <w:b/>
      <w:bCs/>
      <w:snapToGrid w:val="0"/>
      <w:kern w:val="28"/>
      <w:sz w:val="32"/>
      <w:szCs w:val="32"/>
      <w:lang w:eastAsia="ru-RU"/>
    </w:rPr>
  </w:style>
  <w:style w:type="character" w:customStyle="1" w:styleId="a4">
    <w:name w:val="Основной текст Знак"/>
    <w:link w:val="a3"/>
    <w:rsid w:val="00CA5A35"/>
    <w:rPr>
      <w:rFonts w:ascii="Arial" w:hAnsi="Arial"/>
      <w:snapToGrid w:val="0"/>
      <w:sz w:val="24"/>
      <w:szCs w:val="24"/>
    </w:rPr>
  </w:style>
  <w:style w:type="character" w:styleId="af">
    <w:name w:val="Hyperlink"/>
    <w:rsid w:val="00CA5A35"/>
    <w:rPr>
      <w:color w:val="0000FF"/>
      <w:u w:val="none"/>
    </w:rPr>
  </w:style>
  <w:style w:type="character" w:customStyle="1" w:styleId="af0">
    <w:name w:val="номер страницы"/>
    <w:basedOn w:val="a0"/>
    <w:rsid w:val="00CA5A35"/>
  </w:style>
  <w:style w:type="paragraph" w:styleId="23">
    <w:name w:val="Body Text Indent 2"/>
    <w:basedOn w:val="a"/>
    <w:rsid w:val="00CA5A35"/>
    <w:pPr>
      <w:ind w:left="426"/>
    </w:pPr>
    <w:rPr>
      <w:snapToGrid w:val="0"/>
      <w:sz w:val="20"/>
    </w:rPr>
  </w:style>
  <w:style w:type="paragraph" w:styleId="32">
    <w:name w:val="Body Text 3"/>
    <w:basedOn w:val="a"/>
    <w:rsid w:val="00CA5A35"/>
    <w:pPr>
      <w:spacing w:before="120"/>
    </w:pPr>
    <w:rPr>
      <w:snapToGrid w:val="0"/>
      <w:sz w:val="20"/>
    </w:rPr>
  </w:style>
  <w:style w:type="paragraph" w:styleId="24">
    <w:name w:val="Body Text 2"/>
    <w:basedOn w:val="a"/>
    <w:rsid w:val="00CA5A35"/>
    <w:pPr>
      <w:jc w:val="both"/>
    </w:pPr>
    <w:rPr>
      <w:snapToGrid w:val="0"/>
    </w:rPr>
  </w:style>
  <w:style w:type="character" w:styleId="af1">
    <w:name w:val="annotation reference"/>
    <w:semiHidden/>
    <w:rsid w:val="00CA5A35"/>
    <w:rPr>
      <w:sz w:val="16"/>
    </w:rPr>
  </w:style>
  <w:style w:type="paragraph" w:styleId="af2">
    <w:name w:val="annotation text"/>
    <w:basedOn w:val="a"/>
    <w:semiHidden/>
    <w:rsid w:val="00CA5A35"/>
    <w:pPr>
      <w:ind w:left="426"/>
    </w:pPr>
    <w:rPr>
      <w:snapToGrid w:val="0"/>
      <w:sz w:val="20"/>
    </w:rPr>
  </w:style>
  <w:style w:type="paragraph" w:customStyle="1" w:styleId="12">
    <w:name w:val="1"/>
    <w:basedOn w:val="a"/>
    <w:next w:val="13"/>
    <w:rsid w:val="00CA5A35"/>
    <w:pPr>
      <w:spacing w:before="100" w:beforeAutospacing="1" w:after="100" w:afterAutospacing="1"/>
    </w:pPr>
    <w:rPr>
      <w:lang w:eastAsia="ru-RU"/>
    </w:rPr>
  </w:style>
  <w:style w:type="paragraph" w:customStyle="1" w:styleId="13">
    <w:name w:val="Обычный (веб)1"/>
    <w:basedOn w:val="a"/>
    <w:rsid w:val="00CA5A35"/>
  </w:style>
  <w:style w:type="character" w:styleId="af3">
    <w:name w:val="FollowedHyperlink"/>
    <w:rsid w:val="00CA5A35"/>
    <w:rPr>
      <w:color w:val="800080"/>
      <w:u w:val="single"/>
    </w:rPr>
  </w:style>
  <w:style w:type="paragraph" w:customStyle="1" w:styleId="Footer1">
    <w:name w:val="Footer1"/>
    <w:basedOn w:val="a"/>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3"/>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4">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5">
    <w:name w:val="Наименование документа"/>
    <w:basedOn w:val="a"/>
    <w:rsid w:val="00CA5A35"/>
    <w:pPr>
      <w:jc w:val="both"/>
    </w:pPr>
    <w:rPr>
      <w:b/>
      <w:caps/>
      <w:szCs w:val="20"/>
      <w:lang w:eastAsia="ru-RU"/>
    </w:rPr>
  </w:style>
  <w:style w:type="paragraph" w:customStyle="1" w:styleId="14">
    <w:name w:val="Основной текст1"/>
    <w:basedOn w:val="a"/>
    <w:rsid w:val="00CA5A35"/>
    <w:pPr>
      <w:jc w:val="both"/>
    </w:pPr>
    <w:rPr>
      <w:rFonts w:ascii="Arial" w:hAnsi="Arial"/>
      <w:b/>
      <w:sz w:val="20"/>
      <w:szCs w:val="20"/>
      <w:lang w:eastAsia="ru-RU"/>
    </w:rPr>
  </w:style>
  <w:style w:type="character" w:styleId="af6">
    <w:name w:val="Strong"/>
    <w:rsid w:val="00CA5A35"/>
    <w:rPr>
      <w:b/>
      <w:bCs/>
    </w:rPr>
  </w:style>
  <w:style w:type="character" w:styleId="af7">
    <w:name w:val="Emphasis"/>
    <w:rsid w:val="00CA5A35"/>
    <w:rPr>
      <w:i/>
      <w:iCs/>
    </w:rPr>
  </w:style>
  <w:style w:type="paragraph" w:styleId="af8">
    <w:name w:val="List Bullet"/>
    <w:basedOn w:val="a"/>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
    <w:autoRedefine/>
    <w:rsid w:val="00CA5A35"/>
    <w:pPr>
      <w:tabs>
        <w:tab w:val="num" w:pos="926"/>
      </w:tabs>
      <w:ind w:left="926" w:hanging="360"/>
    </w:pPr>
    <w:rPr>
      <w:rFonts w:ascii="Arial" w:hAnsi="Arial"/>
      <w:sz w:val="20"/>
      <w:szCs w:val="20"/>
    </w:rPr>
  </w:style>
  <w:style w:type="paragraph" w:styleId="af9">
    <w:name w:val="List"/>
    <w:basedOn w:val="a3"/>
    <w:rsid w:val="00CA5A35"/>
    <w:pPr>
      <w:tabs>
        <w:tab w:val="left" w:pos="720"/>
      </w:tabs>
      <w:spacing w:after="80"/>
      <w:ind w:left="720" w:hanging="360"/>
      <w:jc w:val="left"/>
    </w:pPr>
    <w:rPr>
      <w:snapToGrid/>
      <w:lang w:val="en-US" w:eastAsia="en-US"/>
    </w:rPr>
  </w:style>
  <w:style w:type="paragraph" w:styleId="25">
    <w:name w:val="List 2"/>
    <w:basedOn w:val="a"/>
    <w:rsid w:val="00CA5A35"/>
    <w:pPr>
      <w:ind w:left="566" w:hanging="283"/>
    </w:pPr>
    <w:rPr>
      <w:rFonts w:ascii="Arial" w:hAnsi="Arial"/>
      <w:sz w:val="20"/>
      <w:szCs w:val="20"/>
    </w:rPr>
  </w:style>
  <w:style w:type="paragraph" w:styleId="afa">
    <w:name w:val="footnote text"/>
    <w:basedOn w:val="a"/>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
    <w:rsid w:val="00CA5A35"/>
    <w:pPr>
      <w:jc w:val="both"/>
    </w:pPr>
    <w:rPr>
      <w:rFonts w:ascii="Courier New" w:hAnsi="Courier New"/>
      <w:sz w:val="20"/>
      <w:szCs w:val="20"/>
    </w:rPr>
  </w:style>
  <w:style w:type="paragraph" w:customStyle="1" w:styleId="RightJustBody">
    <w:name w:val="Right Just Body"/>
    <w:basedOn w:val="a"/>
    <w:rsid w:val="00CA5A35"/>
    <w:pPr>
      <w:jc w:val="right"/>
    </w:pPr>
    <w:rPr>
      <w:rFonts w:ascii="Arial" w:hAnsi="Arial"/>
      <w:sz w:val="20"/>
      <w:szCs w:val="20"/>
      <w:lang w:val="en-US"/>
    </w:rPr>
  </w:style>
  <w:style w:type="paragraph" w:customStyle="1" w:styleId="SectionHeading">
    <w:name w:val="Section Heading"/>
    <w:basedOn w:val="a"/>
    <w:rsid w:val="00CA5A35"/>
    <w:pPr>
      <w:keepNext/>
      <w:spacing w:before="120" w:after="160"/>
    </w:pPr>
    <w:rPr>
      <w:rFonts w:ascii="Arial" w:hAnsi="Arial"/>
      <w:b/>
      <w:kern w:val="28"/>
      <w:sz w:val="28"/>
      <w:szCs w:val="20"/>
      <w:lang w:val="en-US"/>
    </w:rPr>
  </w:style>
  <w:style w:type="paragraph" w:customStyle="1" w:styleId="TitleCover">
    <w:name w:val="Title Cover"/>
    <w:basedOn w:val="a"/>
    <w:next w:val="a"/>
    <w:rsid w:val="00CA5A35"/>
    <w:pPr>
      <w:keepNext/>
      <w:spacing w:before="720" w:after="160"/>
      <w:jc w:val="center"/>
    </w:pPr>
    <w:rPr>
      <w:rFonts w:ascii="Arial" w:hAnsi="Arial"/>
      <w:b/>
      <w:kern w:val="28"/>
      <w:sz w:val="48"/>
      <w:szCs w:val="20"/>
      <w:lang w:val="en-US"/>
    </w:rPr>
  </w:style>
  <w:style w:type="paragraph" w:customStyle="1" w:styleId="ListFirst">
    <w:name w:val="List First"/>
    <w:basedOn w:val="af9"/>
    <w:next w:val="af9"/>
    <w:rsid w:val="00CA5A35"/>
    <w:pPr>
      <w:spacing w:before="80"/>
    </w:pPr>
  </w:style>
  <w:style w:type="paragraph" w:customStyle="1" w:styleId="SubtitleCover">
    <w:name w:val="Subtitle Cover"/>
    <w:basedOn w:val="a"/>
    <w:next w:val="a3"/>
    <w:rsid w:val="00CA5A35"/>
    <w:pPr>
      <w:keepNext/>
      <w:spacing w:before="240" w:after="160"/>
      <w:jc w:val="center"/>
    </w:pPr>
    <w:rPr>
      <w:rFonts w:ascii="Arial" w:hAnsi="Arial"/>
      <w:i/>
      <w:kern w:val="28"/>
      <w:sz w:val="36"/>
      <w:szCs w:val="20"/>
      <w:lang w:val="en-US"/>
    </w:rPr>
  </w:style>
  <w:style w:type="paragraph" w:styleId="afb">
    <w:name w:val="Plain Text"/>
    <w:basedOn w:val="a"/>
    <w:rsid w:val="00CA5A35"/>
    <w:rPr>
      <w:rFonts w:ascii="Courier New" w:hAnsi="Courier New"/>
      <w:sz w:val="20"/>
      <w:szCs w:val="20"/>
      <w:lang w:val="en-AU"/>
    </w:rPr>
  </w:style>
  <w:style w:type="paragraph" w:customStyle="1" w:styleId="normal10">
    <w:name w:val="normal1"/>
    <w:basedOn w:val="a"/>
    <w:rsid w:val="00CA5A35"/>
    <w:pPr>
      <w:spacing w:before="100" w:beforeAutospacing="1" w:after="100" w:afterAutospacing="1"/>
    </w:pPr>
    <w:rPr>
      <w:lang w:eastAsia="ru-RU"/>
    </w:rPr>
  </w:style>
  <w:style w:type="paragraph" w:styleId="afc">
    <w:name w:val="Block Text"/>
    <w:basedOn w:val="a"/>
    <w:rsid w:val="00CA5A35"/>
    <w:pPr>
      <w:spacing w:before="120"/>
      <w:ind w:left="340" w:right="170" w:firstLine="368"/>
      <w:jc w:val="both"/>
    </w:pPr>
    <w:rPr>
      <w:szCs w:val="20"/>
      <w:lang w:eastAsia="ru-RU"/>
    </w:rPr>
  </w:style>
  <w:style w:type="paragraph" w:styleId="afd">
    <w:name w:val="Document Map"/>
    <w:basedOn w:val="a"/>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e">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
    <w:name w:val="annotation subject"/>
    <w:basedOn w:val="af2"/>
    <w:next w:val="af2"/>
    <w:semiHidden/>
    <w:rsid w:val="00CA5A35"/>
    <w:pPr>
      <w:ind w:left="0"/>
    </w:pPr>
    <w:rPr>
      <w:b/>
      <w:bCs/>
      <w:snapToGrid/>
      <w:szCs w:val="20"/>
    </w:rPr>
  </w:style>
  <w:style w:type="paragraph" w:customStyle="1" w:styleId="110">
    <w:name w:val="Обычный + 11 пт"/>
    <w:aliases w:val="Оранжевый"/>
    <w:basedOn w:val="a"/>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0">
    <w:name w:val="endnote text"/>
    <w:basedOn w:val="a"/>
    <w:semiHidden/>
    <w:rsid w:val="00CA5A35"/>
    <w:rPr>
      <w:sz w:val="20"/>
      <w:szCs w:val="20"/>
    </w:rPr>
  </w:style>
  <w:style w:type="character" w:styleId="aff1">
    <w:name w:val="endnote reference"/>
    <w:semiHidden/>
    <w:rsid w:val="00CA5A35"/>
    <w:rPr>
      <w:vertAlign w:val="superscript"/>
    </w:rPr>
  </w:style>
  <w:style w:type="paragraph" w:customStyle="1" w:styleId="CharChar">
    <w:name w:val="Знак Знак Char Char"/>
    <w:basedOn w:val="a"/>
    <w:rsid w:val="00CA5A35"/>
    <w:pPr>
      <w:spacing w:after="160" w:line="240" w:lineRule="exact"/>
    </w:pPr>
    <w:rPr>
      <w:rFonts w:ascii="Verdana" w:hAnsi="Verdana"/>
      <w:sz w:val="20"/>
      <w:szCs w:val="20"/>
      <w:lang w:val="en-US"/>
    </w:rPr>
  </w:style>
  <w:style w:type="paragraph" w:styleId="aff2">
    <w:name w:val="Subtitle"/>
    <w:basedOn w:val="a"/>
    <w:rsid w:val="00CA5A35"/>
    <w:pPr>
      <w:jc w:val="center"/>
      <w:outlineLvl w:val="1"/>
    </w:pPr>
    <w:rPr>
      <w:rFonts w:ascii="Times New Roman CYR" w:hAnsi="Times New Roman CYR" w:cs="Arial"/>
      <w:i/>
      <w:sz w:val="28"/>
    </w:rPr>
  </w:style>
  <w:style w:type="paragraph" w:customStyle="1" w:styleId="aff3">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3"/>
    <w:next w:val="aff3"/>
    <w:rsid w:val="00CA5A35"/>
    <w:pPr>
      <w:keepNext/>
      <w:widowControl/>
      <w:jc w:val="center"/>
    </w:pPr>
    <w:rPr>
      <w:rFonts w:ascii="Arial" w:hAnsi="Arial"/>
      <w:b/>
      <w:sz w:val="28"/>
    </w:rPr>
  </w:style>
  <w:style w:type="paragraph" w:customStyle="1" w:styleId="msolistparagraph0">
    <w:name w:val="msolistparagraph"/>
    <w:basedOn w:val="a"/>
    <w:rsid w:val="00CA5A35"/>
    <w:pPr>
      <w:ind w:left="720"/>
    </w:pPr>
    <w:rPr>
      <w:lang w:eastAsia="ru-RU"/>
    </w:rPr>
  </w:style>
  <w:style w:type="paragraph" w:styleId="26">
    <w:name w:val="toc 2"/>
    <w:basedOn w:val="a"/>
    <w:next w:val="a"/>
    <w:autoRedefine/>
    <w:semiHidden/>
    <w:rsid w:val="00CA5A35"/>
    <w:pPr>
      <w:ind w:left="240"/>
    </w:pPr>
    <w:rPr>
      <w:smallCaps/>
      <w:sz w:val="20"/>
      <w:szCs w:val="20"/>
    </w:rPr>
  </w:style>
  <w:style w:type="paragraph" w:styleId="35">
    <w:name w:val="toc 3"/>
    <w:basedOn w:val="a"/>
    <w:next w:val="a"/>
    <w:autoRedefine/>
    <w:semiHidden/>
    <w:rsid w:val="00CA5A35"/>
    <w:pPr>
      <w:ind w:left="480"/>
    </w:pPr>
    <w:rPr>
      <w:i/>
      <w:iCs/>
      <w:sz w:val="20"/>
      <w:szCs w:val="20"/>
    </w:rPr>
  </w:style>
  <w:style w:type="paragraph" w:styleId="40">
    <w:name w:val="toc 4"/>
    <w:basedOn w:val="a"/>
    <w:next w:val="a"/>
    <w:autoRedefine/>
    <w:semiHidden/>
    <w:rsid w:val="00CA5A35"/>
    <w:pPr>
      <w:ind w:left="720"/>
    </w:pPr>
    <w:rPr>
      <w:sz w:val="18"/>
      <w:szCs w:val="18"/>
    </w:rPr>
  </w:style>
  <w:style w:type="paragraph" w:styleId="50">
    <w:name w:val="toc 5"/>
    <w:basedOn w:val="a"/>
    <w:next w:val="a"/>
    <w:autoRedefine/>
    <w:semiHidden/>
    <w:rsid w:val="00CA5A35"/>
    <w:pPr>
      <w:ind w:left="960"/>
    </w:pPr>
    <w:rPr>
      <w:sz w:val="18"/>
      <w:szCs w:val="18"/>
    </w:rPr>
  </w:style>
  <w:style w:type="paragraph" w:styleId="60">
    <w:name w:val="toc 6"/>
    <w:basedOn w:val="a"/>
    <w:next w:val="a"/>
    <w:autoRedefine/>
    <w:semiHidden/>
    <w:rsid w:val="00CA5A35"/>
    <w:pPr>
      <w:ind w:left="1200"/>
    </w:pPr>
    <w:rPr>
      <w:sz w:val="18"/>
      <w:szCs w:val="18"/>
    </w:rPr>
  </w:style>
  <w:style w:type="paragraph" w:styleId="70">
    <w:name w:val="toc 7"/>
    <w:basedOn w:val="a"/>
    <w:next w:val="a"/>
    <w:autoRedefine/>
    <w:semiHidden/>
    <w:rsid w:val="00CA5A35"/>
    <w:pPr>
      <w:ind w:left="1440"/>
    </w:pPr>
    <w:rPr>
      <w:sz w:val="18"/>
      <w:szCs w:val="18"/>
    </w:rPr>
  </w:style>
  <w:style w:type="paragraph" w:styleId="81">
    <w:name w:val="toc 8"/>
    <w:basedOn w:val="a"/>
    <w:next w:val="a"/>
    <w:autoRedefine/>
    <w:semiHidden/>
    <w:rsid w:val="00CA5A35"/>
    <w:pPr>
      <w:ind w:left="1680"/>
    </w:pPr>
    <w:rPr>
      <w:sz w:val="18"/>
      <w:szCs w:val="18"/>
    </w:rPr>
  </w:style>
  <w:style w:type="paragraph" w:styleId="90">
    <w:name w:val="toc 9"/>
    <w:basedOn w:val="a"/>
    <w:next w:val="a"/>
    <w:autoRedefine/>
    <w:semiHidden/>
    <w:rsid w:val="00CA5A35"/>
    <w:pPr>
      <w:ind w:left="1920"/>
    </w:pPr>
    <w:rPr>
      <w:sz w:val="18"/>
      <w:szCs w:val="18"/>
    </w:rPr>
  </w:style>
  <w:style w:type="table" w:customStyle="1" w:styleId="27">
    <w:name w:val="Обычная таблица2"/>
    <w:next w:val="a1"/>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5">
    <w:name w:val="index 1"/>
    <w:basedOn w:val="a"/>
    <w:next w:val="a"/>
    <w:autoRedefine/>
    <w:semiHidden/>
    <w:rsid w:val="00CA5A35"/>
    <w:pPr>
      <w:ind w:left="240" w:hanging="240"/>
    </w:pPr>
  </w:style>
  <w:style w:type="paragraph" w:styleId="aff4">
    <w:name w:val="table of figures"/>
    <w:basedOn w:val="a"/>
    <w:next w:val="a"/>
    <w:semiHidden/>
    <w:rsid w:val="00CA5A35"/>
  </w:style>
  <w:style w:type="paragraph" w:customStyle="1" w:styleId="31">
    <w:name w:val="3.1."/>
    <w:basedOn w:val="a"/>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eastAsia="en-US"/>
    </w:rPr>
  </w:style>
  <w:style w:type="character" w:customStyle="1" w:styleId="BD1233">
    <w:name w:val="BD_1.2.3 Знак Знак"/>
    <w:link w:val="BD123"/>
    <w:rsid w:val="004877E4"/>
    <w:rPr>
      <w:rFonts w:ascii="Arial" w:eastAsia="Calibri" w:hAnsi="Arial" w:cs="Arial"/>
      <w:sz w:val="22"/>
      <w:szCs w:val="22"/>
      <w:lang w:eastAsia="en-US"/>
    </w:rPr>
  </w:style>
  <w:style w:type="character" w:customStyle="1" w:styleId="BD122">
    <w:name w:val="BD_1.2 Знак Знак"/>
    <w:link w:val="BD12"/>
    <w:rsid w:val="00CA5A35"/>
    <w:rPr>
      <w:rFonts w:ascii="Georgia" w:hAnsi="Georgia"/>
      <w:sz w:val="24"/>
      <w:szCs w:val="24"/>
      <w:lang w:eastAsia="en-US"/>
    </w:rPr>
  </w:style>
  <w:style w:type="paragraph" w:customStyle="1" w:styleId="Georgia6">
    <w:name w:val="Стиль Georgia По ширине Перед:  6 пт Междустр.интервал:  полутор..."/>
    <w:basedOn w:val="a"/>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character" w:customStyle="1" w:styleId="aa">
    <w:name w:val="Верхний колонтитул Знак"/>
    <w:link w:val="a9"/>
    <w:rsid w:val="009B5496"/>
    <w:rPr>
      <w:snapToGrid w:val="0"/>
    </w:rPr>
  </w:style>
  <w:style w:type="paragraph" w:customStyle="1" w:styleId="BD1">
    <w:name w:val="BD!!! ___Статья 1"/>
    <w:basedOn w:val="a"/>
    <w:link w:val="BD13"/>
    <w:autoRedefine/>
    <w:uiPriority w:val="1"/>
    <w:qFormat/>
    <w:rsid w:val="004877E4"/>
    <w:pPr>
      <w:widowControl w:val="0"/>
      <w:numPr>
        <w:numId w:val="13"/>
      </w:numPr>
      <w:tabs>
        <w:tab w:val="clear" w:pos="1134"/>
      </w:tabs>
      <w:kinsoku w:val="0"/>
      <w:overflowPunct w:val="0"/>
      <w:autoSpaceDE w:val="0"/>
      <w:autoSpaceDN w:val="0"/>
      <w:adjustRightInd w:val="0"/>
      <w:spacing w:after="120"/>
      <w:ind w:left="0" w:right="130" w:firstLine="0"/>
      <w:jc w:val="both"/>
      <w:outlineLvl w:val="0"/>
    </w:pPr>
    <w:rPr>
      <w:rFonts w:ascii="Arial" w:eastAsia="Calibri" w:hAnsi="Arial" w:cs="Arial"/>
      <w:b/>
      <w:sz w:val="22"/>
      <w:szCs w:val="22"/>
    </w:rPr>
  </w:style>
  <w:style w:type="character" w:customStyle="1" w:styleId="BD13">
    <w:name w:val="BD!!! ___Статья 1 Знак"/>
    <w:link w:val="BD1"/>
    <w:uiPriority w:val="1"/>
    <w:locked/>
    <w:rsid w:val="004877E4"/>
    <w:rPr>
      <w:rFonts w:ascii="Arial" w:eastAsia="Calibri" w:hAnsi="Arial" w:cs="Arial"/>
      <w:b/>
      <w:sz w:val="22"/>
      <w:szCs w:val="22"/>
      <w:lang w:eastAsia="en-US"/>
    </w:rPr>
  </w:style>
  <w:style w:type="paragraph" w:customStyle="1" w:styleId="BD11">
    <w:name w:val="BD_1.1"/>
    <w:basedOn w:val="a"/>
    <w:link w:val="BD110"/>
    <w:autoRedefine/>
    <w:uiPriority w:val="1"/>
    <w:qFormat/>
    <w:rsid w:val="004877E4"/>
    <w:pPr>
      <w:numPr>
        <w:ilvl w:val="1"/>
        <w:numId w:val="13"/>
      </w:numPr>
      <w:tabs>
        <w:tab w:val="clear" w:pos="1134"/>
      </w:tabs>
      <w:ind w:left="0" w:firstLine="0"/>
      <w:jc w:val="both"/>
    </w:pPr>
    <w:rPr>
      <w:rFonts w:ascii="Arial" w:eastAsia="Calibri" w:hAnsi="Arial" w:cs="Arial"/>
      <w:bCs/>
      <w:sz w:val="22"/>
      <w:szCs w:val="22"/>
      <w:lang w:val="x-none"/>
    </w:rPr>
  </w:style>
  <w:style w:type="character" w:customStyle="1" w:styleId="BD110">
    <w:name w:val="BD_1.1 Знак"/>
    <w:link w:val="BD11"/>
    <w:uiPriority w:val="1"/>
    <w:locked/>
    <w:rsid w:val="004877E4"/>
    <w:rPr>
      <w:rFonts w:ascii="Arial" w:eastAsia="Calibri" w:hAnsi="Arial" w:cs="Arial"/>
      <w:bCs/>
      <w:sz w:val="22"/>
      <w:szCs w:val="22"/>
      <w:lang w:val="x-none" w:eastAsia="en-US"/>
    </w:rPr>
  </w:style>
  <w:style w:type="paragraph" w:customStyle="1" w:styleId="BDun">
    <w:name w:val="BD_un_ОСн"/>
    <w:basedOn w:val="a"/>
    <w:link w:val="BDun0"/>
    <w:rsid w:val="004877E4"/>
    <w:pPr>
      <w:tabs>
        <w:tab w:val="clear" w:pos="1134"/>
      </w:tabs>
      <w:ind w:firstLine="1134"/>
      <w:jc w:val="both"/>
    </w:pPr>
    <w:rPr>
      <w:rFonts w:ascii="Arial" w:eastAsia="Calibri" w:hAnsi="Arial" w:cs="Arial"/>
      <w:bCs/>
      <w:sz w:val="22"/>
      <w:szCs w:val="22"/>
      <w:u w:val="single"/>
      <w:lang w:val="x-none"/>
    </w:rPr>
  </w:style>
  <w:style w:type="character" w:customStyle="1" w:styleId="BDun0">
    <w:name w:val="BD_un_ОСн Знак"/>
    <w:link w:val="BDun"/>
    <w:rsid w:val="004877E4"/>
    <w:rPr>
      <w:rFonts w:ascii="Arial" w:eastAsia="Calibri" w:hAnsi="Arial" w:cs="Arial"/>
      <w:bCs/>
      <w:sz w:val="22"/>
      <w:szCs w:val="22"/>
      <w:u w:val="single"/>
      <w:lang w:val="x-none" w:eastAsia="en-US"/>
    </w:rPr>
  </w:style>
  <w:style w:type="character" w:customStyle="1" w:styleId="BD2">
    <w:name w:val="BD_Маркер Знак"/>
    <w:link w:val="BD"/>
    <w:locked/>
    <w:rsid w:val="004877E4"/>
    <w:rPr>
      <w:rFonts w:ascii="Georgia" w:eastAsia="Calibri" w:hAnsi="Georgia"/>
      <w:sz w:val="24"/>
      <w:szCs w:val="24"/>
      <w:lang w:eastAsia="en-US"/>
    </w:rPr>
  </w:style>
  <w:style w:type="paragraph" w:customStyle="1" w:styleId="BD4">
    <w:name w:val="BD_Маркер!"/>
    <w:basedOn w:val="BD"/>
    <w:link w:val="BD5"/>
    <w:qFormat/>
    <w:rsid w:val="004877E4"/>
    <w:pPr>
      <w:spacing w:before="0" w:line="240" w:lineRule="auto"/>
    </w:pPr>
    <w:rPr>
      <w:rFonts w:ascii="Arial" w:hAnsi="Arial" w:cs="Arial"/>
    </w:rPr>
  </w:style>
  <w:style w:type="character" w:customStyle="1" w:styleId="BD5">
    <w:name w:val="BD_Маркер! Знак"/>
    <w:link w:val="BD4"/>
    <w:rsid w:val="004877E4"/>
    <w:rPr>
      <w:rFonts w:ascii="Arial" w:eastAsia="Calibri" w:hAnsi="Arial" w:cs="Arial"/>
      <w:sz w:val="24"/>
      <w:szCs w:val="24"/>
      <w:lang w:eastAsia="en-US"/>
    </w:rPr>
  </w:style>
  <w:style w:type="paragraph" w:customStyle="1" w:styleId="BD6">
    <w:name w:val="BD_Основной текст"/>
    <w:basedOn w:val="BD123"/>
    <w:link w:val="BD7"/>
    <w:qFormat/>
    <w:rsid w:val="004877E4"/>
    <w:pPr>
      <w:numPr>
        <w:ilvl w:val="0"/>
        <w:numId w:val="0"/>
      </w:numPr>
      <w:ind w:firstLine="851"/>
    </w:pPr>
    <w:rPr>
      <w:bCs/>
    </w:rPr>
  </w:style>
  <w:style w:type="character" w:customStyle="1" w:styleId="BD7">
    <w:name w:val="BD_Основной текст Знак"/>
    <w:link w:val="BD6"/>
    <w:rsid w:val="004877E4"/>
    <w:rPr>
      <w:rFonts w:ascii="Arial" w:eastAsia="Calibri" w:hAnsi="Arial" w:cs="Arial"/>
      <w:bCs/>
      <w:sz w:val="22"/>
      <w:szCs w:val="22"/>
      <w:lang w:eastAsia="en-US"/>
    </w:rPr>
  </w:style>
  <w:style w:type="paragraph" w:customStyle="1" w:styleId="und11">
    <w:name w:val="und_1.1"/>
    <w:basedOn w:val="BD11"/>
    <w:link w:val="und110"/>
    <w:qFormat/>
    <w:rsid w:val="004877E4"/>
    <w:rPr>
      <w:u w:val="single"/>
    </w:rPr>
  </w:style>
  <w:style w:type="character" w:customStyle="1" w:styleId="und110">
    <w:name w:val="und_1.1 Знак"/>
    <w:link w:val="und11"/>
    <w:rsid w:val="004877E4"/>
    <w:rPr>
      <w:rFonts w:ascii="Arial" w:eastAsia="Calibri" w:hAnsi="Arial" w:cs="Arial"/>
      <w:bCs/>
      <w:sz w:val="22"/>
      <w:szCs w:val="22"/>
      <w:u w:val="single"/>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Stili_DO</Template>
  <TotalTime>21</TotalTime>
  <Pages>7</Pages>
  <Words>3596</Words>
  <Characters>25022</Characters>
  <Application>Microsoft Office Word</Application>
  <DocSecurity>0</DocSecurity>
  <Lines>208</Lines>
  <Paragraphs>57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
  <LinksUpToDate>false</LinksUpToDate>
  <CharactersWithSpaces>28561</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7</cp:revision>
  <cp:lastPrinted>2016-01-29T14:50:00Z</cp:lastPrinted>
  <dcterms:created xsi:type="dcterms:W3CDTF">2019-11-15T11:36:00Z</dcterms:created>
  <dcterms:modified xsi:type="dcterms:W3CDTF">2021-09-08T15:58:00Z</dcterms:modified>
</cp:coreProperties>
</file>