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 xml:space="preserve">Доверенность, если </w:t>
            </w:r>
            <w:bookmarkStart w:id="0" w:name="_GoBack"/>
            <w:bookmarkEnd w:id="0"/>
            <w:r w:rsidRPr="00A82E72">
              <w:rPr>
                <w:sz w:val="20"/>
              </w:rPr>
              <w:t>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lastRenderedPageBreak/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</w:t>
      </w:r>
      <w:r w:rsidR="00C54E7B">
        <w:rPr>
          <w:sz w:val="20"/>
        </w:rPr>
        <w:t xml:space="preserve">, </w:t>
      </w:r>
      <w:r w:rsidR="00C54E7B" w:rsidRPr="00C54E7B">
        <w:rPr>
          <w:sz w:val="20"/>
        </w:rPr>
        <w:t>анкета по форме Анкеты физического лица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 xml:space="preserve">– документы </w:t>
      </w:r>
      <w:r w:rsidRPr="00A82E72">
        <w:rPr>
          <w:sz w:val="20"/>
        </w:rPr>
        <w:lastRenderedPageBreak/>
        <w:t>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60A9E"/>
    <w:rsid w:val="00067E3F"/>
    <w:rsid w:val="00100C4C"/>
    <w:rsid w:val="00136349"/>
    <w:rsid w:val="001565E8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F6D"/>
    <w:rsid w:val="00572015"/>
    <w:rsid w:val="005764E3"/>
    <w:rsid w:val="005903AE"/>
    <w:rsid w:val="005C275A"/>
    <w:rsid w:val="005F0575"/>
    <w:rsid w:val="006229D2"/>
    <w:rsid w:val="00647B6D"/>
    <w:rsid w:val="00651C87"/>
    <w:rsid w:val="006568E0"/>
    <w:rsid w:val="006922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E0555"/>
    <w:rsid w:val="00E04A2C"/>
    <w:rsid w:val="00E44B94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50</cp:revision>
  <dcterms:created xsi:type="dcterms:W3CDTF">2018-05-16T10:20:00Z</dcterms:created>
  <dcterms:modified xsi:type="dcterms:W3CDTF">2021-09-08T15:56:00Z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